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5057775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 Light" w:cs="Comfortaa Light" w:eastAsia="Comfortaa Light" w:hAnsi="Comfortaa Light"/>
          <w:color w:val="ff99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5°año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bookmarkStart w:colFirst="0" w:colLast="0" w:name="_heading=h.atdmumqnde46" w:id="0"/>
      <w:bookmarkEnd w:id="0"/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Fecha: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09-10-2026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b4a7d6"/>
          <w:sz w:val="24"/>
          <w:szCs w:val="24"/>
          <w:u w:val="single"/>
          <w:rtl w:val="0"/>
        </w:rPr>
        <w:t xml:space="preserve">Bibliografía: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 de 5-Sociedad y economía en la Argentina actual. Estrada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  <w:rtl w:val="0"/>
        </w:rPr>
        <w:t xml:space="preserve">Trabajo Práctico n° 36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Tema:La diferenciación social y territorial del consumo.</w:t>
      </w:r>
    </w:p>
    <w:p w:rsidR="00000000" w:rsidDel="00000000" w:rsidP="00000000" w:rsidRDefault="00000000" w:rsidRPr="00000000" w14:paraId="0000000A">
      <w:pPr>
        <w:jc w:val="center"/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  <w:rtl w:val="0"/>
        </w:rPr>
        <w:t xml:space="preserve">Actividades:</w:t>
      </w:r>
    </w:p>
    <w:p w:rsidR="00000000" w:rsidDel="00000000" w:rsidP="00000000" w:rsidRDefault="00000000" w:rsidRPr="00000000" w14:paraId="0000000C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toman en cuenta los nuevos centros comerciales a la hora de instalarse en un territorio?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son los shoppings?¿Qué rol tienen en el territorio?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espacios están perdiendo prestigio por la llegada de estos centros comerciales?</w:t>
      </w:r>
    </w:p>
    <w:p w:rsidR="00000000" w:rsidDel="00000000" w:rsidP="00000000" w:rsidRDefault="00000000" w:rsidRPr="00000000" w14:paraId="00000010">
      <w:pPr>
        <w:ind w:left="0" w:firstLine="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omfortaa" w:cs="Comfortaa" w:eastAsia="Comfortaa" w:hAnsi="Comfortaa"/>
          <w:b w:val="1"/>
          <w:bCs w:val="1"/>
          <w:sz w:val="26"/>
          <w:szCs w:val="26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8"/>
          <w:szCs w:val="28"/>
          <w:u w:val="single"/>
          <w:rtl w:val="0"/>
        </w:rPr>
        <w:t xml:space="preserve">pág. 202-203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ZJnlHCjWNR3kPz74CzBaI5hNw==">CgMxLjAyDmguYXRkbXVtcW5kZTQ2OAByITE4WWFiSktBU2J0R2FCbXRpTlZEQ25OdGw0VE9leVAtWQ==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