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49341C">
        <w:rPr>
          <w:sz w:val="24"/>
          <w:szCs w:val="20"/>
        </w:rPr>
        <w:t xml:space="preserve">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49341C">
        <w:rPr>
          <w:sz w:val="24"/>
          <w:szCs w:val="20"/>
        </w:rPr>
        <w:t>28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49691D">
        <w:rPr>
          <w:b/>
          <w:color w:val="000000" w:themeColor="text1"/>
          <w:sz w:val="32"/>
          <w:szCs w:val="24"/>
        </w:rPr>
        <w:t>44</w:t>
      </w:r>
      <w:bookmarkStart w:id="0" w:name="_GoBack"/>
      <w:bookmarkEnd w:id="0"/>
    </w:p>
    <w:p w:rsidR="008640CF" w:rsidRPr="00A041BD" w:rsidRDefault="002E5D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>Tema</w:t>
      </w:r>
      <w:r w:rsidR="00001343">
        <w:rPr>
          <w:b/>
          <w:color w:val="000000" w:themeColor="text1"/>
          <w:sz w:val="32"/>
          <w:szCs w:val="24"/>
        </w:rPr>
        <w:t xml:space="preserve">: revisión de evaluación- repaso para la recuperación </w:t>
      </w:r>
    </w:p>
    <w:p w:rsidR="00251484" w:rsidRDefault="00CE478C" w:rsidP="008F69C3">
      <w:pPr>
        <w:spacing w:after="0"/>
        <w:divId w:val="286549484"/>
        <w:rPr>
          <w:sz w:val="24"/>
          <w:szCs w:val="24"/>
        </w:rPr>
      </w:pPr>
      <w:r>
        <w:rPr>
          <w:bCs/>
          <w:color w:val="000000" w:themeColor="text1"/>
          <w:sz w:val="24"/>
          <w:szCs w:val="24"/>
          <w:u w:val="single"/>
        </w:rPr>
        <w:t>TEMA 1</w:t>
      </w:r>
    </w:p>
    <w:p w:rsidR="00CA4F84" w:rsidRDefault="00CA4F84" w:rsidP="008F69C3">
      <w:pPr>
        <w:spacing w:after="0"/>
        <w:divId w:val="286549484"/>
        <w:rPr>
          <w:sz w:val="24"/>
          <w:szCs w:val="24"/>
        </w:rPr>
      </w:pPr>
    </w:p>
    <w:p w:rsidR="00191DB4" w:rsidRDefault="00CA4F84" w:rsidP="00191DB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se llama identidad?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145F74" w:rsidRPr="00191DB4" w:rsidRDefault="00145F74" w:rsidP="00191DB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 w:rsidRPr="00191DB4">
        <w:rPr>
          <w:sz w:val="24"/>
          <w:szCs w:val="24"/>
        </w:rPr>
        <w:t xml:space="preserve">Responde verdadero o falso: </w:t>
      </w:r>
      <w:r w:rsidR="00191DB4" w:rsidRPr="00191DB4">
        <w:rPr>
          <w:sz w:val="24"/>
          <w:szCs w:val="24"/>
        </w:rPr>
        <w:t xml:space="preserve">(1 PT.) </w:t>
      </w:r>
    </w:p>
    <w:p w:rsidR="00145F74" w:rsidRDefault="00145F74" w:rsidP="00145F74">
      <w:pPr>
        <w:pStyle w:val="Prrafodelista"/>
        <w:numPr>
          <w:ilvl w:val="1"/>
          <w:numId w:val="38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“La identidad no se va cambiando a lo largo del tiempo.”</w:t>
      </w:r>
    </w:p>
    <w:p w:rsidR="00145F74" w:rsidRDefault="00145F74" w:rsidP="00145F74">
      <w:pPr>
        <w:pStyle w:val="Prrafodelista"/>
        <w:numPr>
          <w:ilvl w:val="1"/>
          <w:numId w:val="38"/>
        </w:numPr>
        <w:spacing w:after="0" w:line="256" w:lineRule="auto"/>
        <w:divId w:val="286549484"/>
        <w:rPr>
          <w:sz w:val="24"/>
          <w:szCs w:val="24"/>
        </w:rPr>
      </w:pPr>
      <w:proofErr w:type="spellStart"/>
      <w:r>
        <w:rPr>
          <w:sz w:val="24"/>
          <w:szCs w:val="24"/>
        </w:rPr>
        <w:t>Zygmunt</w:t>
      </w:r>
      <w:proofErr w:type="spellEnd"/>
      <w:r>
        <w:rPr>
          <w:sz w:val="24"/>
          <w:szCs w:val="24"/>
        </w:rPr>
        <w:t xml:space="preserve"> –barman manifestó: “la identidad suele ser algo tan improvisto indeleble…”</w:t>
      </w:r>
    </w:p>
    <w:p w:rsidR="00145F74" w:rsidRPr="00145F74" w:rsidRDefault="00145F74" w:rsidP="00145F74">
      <w:pPr>
        <w:pStyle w:val="Prrafodelista"/>
        <w:numPr>
          <w:ilvl w:val="1"/>
          <w:numId w:val="38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Peter Berger: “Las sociedades tienen historias en cuyo curso emergen identidades especificas…”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significa discriminar?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Selecciona las oraciones afirmativas:</w:t>
      </w:r>
      <w:r w:rsidR="00191DB4">
        <w:rPr>
          <w:sz w:val="24"/>
          <w:szCs w:val="24"/>
        </w:rPr>
        <w:t xml:space="preserve"> (1 PT.)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atenta contra la libertad y la igualdad.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no tiene relación con cuestiones nacionales y culturales.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está aferrada a la construcción de estereotipos.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el racismo?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Indica la opción correcta ¿En qué año se formuló los Derechos Humanos? </w:t>
      </w:r>
      <w:r w:rsidR="00191DB4">
        <w:rPr>
          <w:sz w:val="24"/>
          <w:szCs w:val="24"/>
        </w:rPr>
        <w:t>(1 PT.)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1498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1948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1894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1984</w:t>
      </w:r>
    </w:p>
    <w:p w:rsidR="00145F74" w:rsidRDefault="00145F74" w:rsidP="00145F74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¿Qué son los derechos humanos?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(2PT.)</w:t>
      </w:r>
    </w:p>
    <w:p w:rsidR="00145F74" w:rsidRDefault="00145F74" w:rsidP="00145F74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 ¿cuáles son las características de los derechos humanos?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(2 PT.)</w:t>
      </w:r>
    </w:p>
    <w:p w:rsidR="00145F74" w:rsidRPr="00145F74" w:rsidRDefault="00145F74" w:rsidP="00145F74">
      <w:pPr>
        <w:spacing w:after="0"/>
        <w:ind w:left="360"/>
        <w:divId w:val="286549484"/>
        <w:rPr>
          <w:sz w:val="24"/>
          <w:szCs w:val="24"/>
        </w:rPr>
      </w:pPr>
    </w:p>
    <w:p w:rsidR="00F06231" w:rsidRPr="00CA4F84" w:rsidRDefault="00F06231" w:rsidP="00F06231">
      <w:pPr>
        <w:pStyle w:val="Prrafodelista"/>
        <w:spacing w:after="0"/>
        <w:divId w:val="286549484"/>
        <w:rPr>
          <w:sz w:val="24"/>
          <w:szCs w:val="24"/>
        </w:rPr>
      </w:pPr>
    </w:p>
    <w:p w:rsidR="00CE478C" w:rsidRPr="00191DB4" w:rsidRDefault="00CE478C" w:rsidP="00191DB4">
      <w:pPr>
        <w:pStyle w:val="Prrafodelista"/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TEMA 2</w:t>
      </w:r>
    </w:p>
    <w:p w:rsidR="00C04A2B" w:rsidRDefault="00C04A2B" w:rsidP="00C04A2B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la globalización?</w:t>
      </w:r>
      <w:r w:rsidR="00191DB4" w:rsidRPr="00191DB4">
        <w:rPr>
          <w:sz w:val="24"/>
          <w:szCs w:val="24"/>
        </w:rPr>
        <w:t xml:space="preserve"> </w:t>
      </w:r>
      <w:r w:rsidR="00953664">
        <w:rPr>
          <w:sz w:val="24"/>
          <w:szCs w:val="24"/>
        </w:rPr>
        <w:t>(1</w:t>
      </w:r>
      <w:r w:rsidR="00191DB4">
        <w:rPr>
          <w:sz w:val="24"/>
          <w:szCs w:val="24"/>
        </w:rPr>
        <w:t xml:space="preserve"> PT.)</w:t>
      </w:r>
    </w:p>
    <w:p w:rsidR="00C04A2B" w:rsidRDefault="00C04A2B" w:rsidP="00C04A2B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¿Por qué decimos que el hombre es un ser social?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C04A2B" w:rsidRPr="00C04A2B" w:rsidRDefault="00C04A2B" w:rsidP="00C04A2B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 w:rsidRPr="00C04A2B">
        <w:rPr>
          <w:sz w:val="24"/>
          <w:szCs w:val="24"/>
        </w:rPr>
        <w:t>¿A qué hacen referencia los derechos culturales? Señala las opciones correctas: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C04A2B" w:rsidRDefault="00C04A2B" w:rsidP="00C04A2B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Identidad, gobierno, economía</w:t>
      </w:r>
    </w:p>
    <w:p w:rsidR="00C04A2B" w:rsidRDefault="00C04A2B" w:rsidP="00C04A2B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Educación y formación</w:t>
      </w:r>
    </w:p>
    <w:p w:rsidR="00C04A2B" w:rsidRDefault="00C04A2B" w:rsidP="00C04A2B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Participación en la vida cultural</w:t>
      </w:r>
    </w:p>
    <w:p w:rsidR="00C04A2B" w:rsidRDefault="00C04A2B" w:rsidP="00C04A2B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lastRenderedPageBreak/>
        <w:t>Inserción en la democracia cultural</w:t>
      </w:r>
    </w:p>
    <w:p w:rsidR="005300B7" w:rsidRDefault="00C04A2B" w:rsidP="00C04A2B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 w:rsidRPr="00C04A2B">
        <w:rPr>
          <w:sz w:val="24"/>
          <w:szCs w:val="24"/>
        </w:rPr>
        <w:t>¿Cuál es la ley antidiscriminatoria, cuando se sancionó y que expresa?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(2 PT.)</w:t>
      </w:r>
    </w:p>
    <w:p w:rsidR="00191DB4" w:rsidRPr="00191DB4" w:rsidRDefault="00191DB4" w:rsidP="00191DB4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el racismo?</w:t>
      </w:r>
      <w:r w:rsidRPr="00191DB4">
        <w:rPr>
          <w:sz w:val="24"/>
          <w:szCs w:val="24"/>
        </w:rPr>
        <w:t xml:space="preserve"> </w:t>
      </w:r>
      <w:r>
        <w:rPr>
          <w:sz w:val="24"/>
          <w:szCs w:val="24"/>
        </w:rPr>
        <w:t>(1 PT.)</w:t>
      </w:r>
    </w:p>
    <w:p w:rsidR="00C04A2B" w:rsidRPr="00C04A2B" w:rsidRDefault="00C04A2B" w:rsidP="00C04A2B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 w:rsidRPr="00C04A2B">
        <w:rPr>
          <w:sz w:val="24"/>
          <w:szCs w:val="24"/>
        </w:rPr>
        <w:t>Señala las características correcta sobre los derechos humanos son: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C04A2B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Indivisible</w:t>
      </w:r>
    </w:p>
    <w:p w:rsidR="00C04A2B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dependientes</w:t>
      </w:r>
    </w:p>
    <w:p w:rsidR="00C04A2B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Universales</w:t>
      </w:r>
    </w:p>
    <w:p w:rsidR="00C04A2B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culturales</w:t>
      </w:r>
    </w:p>
    <w:p w:rsidR="00C04A2B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independientes</w:t>
      </w:r>
    </w:p>
    <w:p w:rsidR="00C04A2B" w:rsidRPr="00191DB4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divisibles</w:t>
      </w:r>
    </w:p>
    <w:p w:rsidR="00191DB4" w:rsidRDefault="00C04A2B" w:rsidP="00191DB4">
      <w:pPr>
        <w:pStyle w:val="Prrafodelista"/>
        <w:numPr>
          <w:ilvl w:val="0"/>
          <w:numId w:val="39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¿Qué son los derechos culturales? Menciona </w:t>
      </w:r>
      <w:proofErr w:type="gramStart"/>
      <w:r>
        <w:rPr>
          <w:sz w:val="24"/>
          <w:szCs w:val="24"/>
        </w:rPr>
        <w:t>ejemplos</w:t>
      </w:r>
      <w:r w:rsidR="00953664">
        <w:rPr>
          <w:sz w:val="24"/>
          <w:szCs w:val="24"/>
        </w:rPr>
        <w:t>(</w:t>
      </w:r>
      <w:proofErr w:type="gramEnd"/>
      <w:r w:rsidR="00953664">
        <w:rPr>
          <w:sz w:val="24"/>
          <w:szCs w:val="24"/>
        </w:rPr>
        <w:t>2 PT.)</w:t>
      </w:r>
    </w:p>
    <w:p w:rsidR="00191DB4" w:rsidRPr="00191DB4" w:rsidRDefault="00191DB4" w:rsidP="00191DB4">
      <w:pPr>
        <w:pStyle w:val="Prrafodelista"/>
        <w:numPr>
          <w:ilvl w:val="0"/>
          <w:numId w:val="39"/>
        </w:numPr>
        <w:spacing w:after="0" w:line="256" w:lineRule="auto"/>
        <w:divId w:val="286549484"/>
        <w:rPr>
          <w:sz w:val="24"/>
          <w:szCs w:val="24"/>
        </w:rPr>
      </w:pPr>
      <w:r w:rsidRPr="00191DB4">
        <w:rPr>
          <w:sz w:val="24"/>
          <w:szCs w:val="24"/>
        </w:rPr>
        <w:t xml:space="preserve">Selecciona las oraciones afirmativas: </w:t>
      </w:r>
      <w:r>
        <w:rPr>
          <w:sz w:val="24"/>
          <w:szCs w:val="24"/>
        </w:rPr>
        <w:t>(1 PT.)</w:t>
      </w:r>
    </w:p>
    <w:p w:rsidR="00191DB4" w:rsidRDefault="00191DB4" w:rsidP="00191DB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atenta contra la libertad y la igualdad.</w:t>
      </w:r>
    </w:p>
    <w:p w:rsidR="00191DB4" w:rsidRDefault="00191DB4" w:rsidP="00191DB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no tiene relación con cuestiones nacionales y culturales.</w:t>
      </w:r>
    </w:p>
    <w:p w:rsidR="00191DB4" w:rsidRDefault="00191DB4" w:rsidP="00191DB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está aferrada a la construcción de estereotipos.</w:t>
      </w:r>
    </w:p>
    <w:p w:rsidR="005300B7" w:rsidRPr="00CA4F84" w:rsidRDefault="005300B7" w:rsidP="00CA4F84">
      <w:pPr>
        <w:pStyle w:val="Prrafodelista"/>
        <w:spacing w:after="0"/>
        <w:divId w:val="286549484"/>
        <w:rPr>
          <w:sz w:val="24"/>
          <w:szCs w:val="24"/>
        </w:rPr>
      </w:pPr>
    </w:p>
    <w:sectPr w:rsidR="005300B7" w:rsidRPr="00CA4F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DD5" w:rsidRDefault="00907DD5" w:rsidP="003C0D6D">
      <w:pPr>
        <w:spacing w:after="0" w:line="240" w:lineRule="auto"/>
      </w:pPr>
      <w:r>
        <w:separator/>
      </w:r>
    </w:p>
  </w:endnote>
  <w:endnote w:type="continuationSeparator" w:id="0">
    <w:p w:rsidR="00907DD5" w:rsidRDefault="00907DD5" w:rsidP="003C0D6D">
      <w:pPr>
        <w:spacing w:after="0" w:line="240" w:lineRule="auto"/>
      </w:pPr>
      <w:r>
        <w:continuationSeparator/>
      </w:r>
    </w:p>
  </w:endnote>
  <w:endnote w:type="continuationNotice" w:id="1">
    <w:p w:rsidR="00907DD5" w:rsidRDefault="00907D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DD5" w:rsidRDefault="00907DD5" w:rsidP="003C0D6D">
      <w:pPr>
        <w:spacing w:after="0" w:line="240" w:lineRule="auto"/>
      </w:pPr>
      <w:r>
        <w:separator/>
      </w:r>
    </w:p>
  </w:footnote>
  <w:footnote w:type="continuationSeparator" w:id="0">
    <w:p w:rsidR="00907DD5" w:rsidRDefault="00907DD5" w:rsidP="003C0D6D">
      <w:pPr>
        <w:spacing w:after="0" w:line="240" w:lineRule="auto"/>
      </w:pPr>
      <w:r>
        <w:continuationSeparator/>
      </w:r>
    </w:p>
  </w:footnote>
  <w:footnote w:type="continuationNotice" w:id="1">
    <w:p w:rsidR="00907DD5" w:rsidRDefault="00907D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17CA0B7" wp14:editId="152E5743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2DD66375" wp14:editId="14B2493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9pt;height:9pt" o:bullet="t">
        <v:imagedata r:id="rId1" o:title="BD14794_"/>
      </v:shape>
    </w:pict>
  </w:numPicBullet>
  <w:numPicBullet w:numPicBulletId="1">
    <w:pict>
      <v:shape id="_x0000_i1075" type="#_x0000_t75" style="width:9.7pt;height:9.7pt" o:bullet="t">
        <v:imagedata r:id="rId2" o:title="BD21298_"/>
      </v:shape>
    </w:pict>
  </w:numPicBullet>
  <w:numPicBullet w:numPicBulletId="2">
    <w:pict>
      <v:shape id="_x0000_i1076" type="#_x0000_t75" style="width:11.75pt;height:11.75pt" o:bullet="t">
        <v:imagedata r:id="rId3" o:title="msoEC08"/>
      </v:shape>
    </w:pict>
  </w:numPicBullet>
  <w:numPicBullet w:numPicBulletId="3">
    <w:pict>
      <v:shape id="_x0000_i1077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EE4050"/>
    <w:multiLevelType w:val="hybridMultilevel"/>
    <w:tmpl w:val="410CD4B6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7"/>
  </w:num>
  <w:num w:numId="3">
    <w:abstractNumId w:val="9"/>
  </w:num>
  <w:num w:numId="4">
    <w:abstractNumId w:val="13"/>
  </w:num>
  <w:num w:numId="5">
    <w:abstractNumId w:val="4"/>
  </w:num>
  <w:num w:numId="6">
    <w:abstractNumId w:val="23"/>
  </w:num>
  <w:num w:numId="7">
    <w:abstractNumId w:val="22"/>
  </w:num>
  <w:num w:numId="8">
    <w:abstractNumId w:val="11"/>
  </w:num>
  <w:num w:numId="9">
    <w:abstractNumId w:val="1"/>
  </w:num>
  <w:num w:numId="10">
    <w:abstractNumId w:val="15"/>
  </w:num>
  <w:num w:numId="11">
    <w:abstractNumId w:val="31"/>
  </w:num>
  <w:num w:numId="12">
    <w:abstractNumId w:val="21"/>
  </w:num>
  <w:num w:numId="13">
    <w:abstractNumId w:val="30"/>
  </w:num>
  <w:num w:numId="14">
    <w:abstractNumId w:val="32"/>
  </w:num>
  <w:num w:numId="15">
    <w:abstractNumId w:val="3"/>
  </w:num>
  <w:num w:numId="16">
    <w:abstractNumId w:val="35"/>
  </w:num>
  <w:num w:numId="17">
    <w:abstractNumId w:val="7"/>
  </w:num>
  <w:num w:numId="18">
    <w:abstractNumId w:val="28"/>
  </w:num>
  <w:num w:numId="19">
    <w:abstractNumId w:val="6"/>
  </w:num>
  <w:num w:numId="20">
    <w:abstractNumId w:val="24"/>
  </w:num>
  <w:num w:numId="21">
    <w:abstractNumId w:val="2"/>
  </w:num>
  <w:num w:numId="22">
    <w:abstractNumId w:val="25"/>
  </w:num>
  <w:num w:numId="23">
    <w:abstractNumId w:val="36"/>
  </w:num>
  <w:num w:numId="24">
    <w:abstractNumId w:val="34"/>
  </w:num>
  <w:num w:numId="25">
    <w:abstractNumId w:val="10"/>
  </w:num>
  <w:num w:numId="26">
    <w:abstractNumId w:val="29"/>
  </w:num>
  <w:num w:numId="27">
    <w:abstractNumId w:val="33"/>
  </w:num>
  <w:num w:numId="28">
    <w:abstractNumId w:val="0"/>
  </w:num>
  <w:num w:numId="29">
    <w:abstractNumId w:val="8"/>
  </w:num>
  <w:num w:numId="30">
    <w:abstractNumId w:val="5"/>
  </w:num>
  <w:num w:numId="31">
    <w:abstractNumId w:val="20"/>
  </w:num>
  <w:num w:numId="32">
    <w:abstractNumId w:val="26"/>
  </w:num>
  <w:num w:numId="33">
    <w:abstractNumId w:val="12"/>
  </w:num>
  <w:num w:numId="34">
    <w:abstractNumId w:val="16"/>
  </w:num>
  <w:num w:numId="35">
    <w:abstractNumId w:val="18"/>
  </w:num>
  <w:num w:numId="36">
    <w:abstractNumId w:val="27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343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F74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1DB4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5AD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341C"/>
    <w:rsid w:val="004947D1"/>
    <w:rsid w:val="0049495F"/>
    <w:rsid w:val="00495867"/>
    <w:rsid w:val="0049634E"/>
    <w:rsid w:val="0049691D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0B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2A60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07DD5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664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5CD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A2B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78C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6B5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57FE2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67E6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A06D7-2BF7-42A6-AF4D-1643607C5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2026-08-25T01:03:00Z</dcterms:created>
  <dcterms:modified xsi:type="dcterms:W3CDTF">2026-08-25T01:03:00Z</dcterms:modified>
</cp:coreProperties>
</file>