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78C206A3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8878E9">
        <w:rPr>
          <w:rFonts w:ascii="Arial" w:hAnsi="Arial" w:cs="Arial"/>
          <w:sz w:val="24"/>
          <w:szCs w:val="24"/>
        </w:rPr>
        <w:t>1</w:t>
      </w:r>
      <w:r w:rsidR="001141AB">
        <w:rPr>
          <w:rFonts w:ascii="Arial" w:hAnsi="Arial" w:cs="Arial"/>
          <w:sz w:val="24"/>
          <w:szCs w:val="24"/>
        </w:rPr>
        <w:t>4</w:t>
      </w:r>
      <w:r w:rsidR="001042CA" w:rsidRPr="006D026E">
        <w:rPr>
          <w:rFonts w:ascii="Arial" w:hAnsi="Arial" w:cs="Arial"/>
          <w:sz w:val="24"/>
          <w:szCs w:val="24"/>
        </w:rPr>
        <w:t>-0</w:t>
      </w:r>
      <w:r w:rsidR="006F08CF">
        <w:rPr>
          <w:rFonts w:ascii="Arial" w:hAnsi="Arial" w:cs="Arial"/>
          <w:sz w:val="24"/>
          <w:szCs w:val="24"/>
        </w:rPr>
        <w:t>9</w:t>
      </w:r>
      <w:r w:rsidR="001042CA" w:rsidRPr="006D026E">
        <w:rPr>
          <w:rFonts w:ascii="Arial" w:hAnsi="Arial" w:cs="Arial"/>
          <w:sz w:val="24"/>
          <w:szCs w:val="24"/>
        </w:rPr>
        <w:t>-26</w:t>
      </w:r>
    </w:p>
    <w:p w14:paraId="7B0CAF84" w14:textId="1DCA39F4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0E44305D" w14:textId="2FDAEDC0" w:rsidR="00AC0318" w:rsidRDefault="00C77386" w:rsidP="00AC0318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13C0241F" w14:textId="613199FD" w:rsidR="00226B4A" w:rsidRPr="00C55E4C" w:rsidRDefault="00244D5D" w:rsidP="00AC0318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C55E4C">
        <w:rPr>
          <w:rFonts w:ascii="Arial" w:hAnsi="Arial" w:cs="Arial"/>
          <w:sz w:val="24"/>
          <w:szCs w:val="20"/>
          <w:lang w:val="es-US"/>
        </w:rPr>
        <w:t xml:space="preserve">Continuamos trabajando con el TP </w:t>
      </w:r>
      <w:r w:rsidR="005024FB" w:rsidRPr="00C55E4C">
        <w:rPr>
          <w:rFonts w:ascii="Arial" w:hAnsi="Arial" w:cs="Arial"/>
          <w:sz w:val="24"/>
          <w:szCs w:val="20"/>
          <w:lang w:val="es-US"/>
        </w:rPr>
        <w:t>30</w:t>
      </w:r>
    </w:p>
    <w:p w14:paraId="2C3BF7AE" w14:textId="43733C52" w:rsidR="005024FB" w:rsidRPr="00C55E4C" w:rsidRDefault="005024FB" w:rsidP="005024FB">
      <w:pPr>
        <w:pStyle w:val="Prrafodelista"/>
        <w:numPr>
          <w:ilvl w:val="0"/>
          <w:numId w:val="35"/>
        </w:num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C55E4C">
        <w:rPr>
          <w:rFonts w:ascii="Arial" w:hAnsi="Arial" w:cs="Arial"/>
          <w:sz w:val="24"/>
          <w:szCs w:val="20"/>
          <w:lang w:val="es-US"/>
        </w:rPr>
        <w:t xml:space="preserve">1° corrección de </w:t>
      </w:r>
      <w:r w:rsidR="00C55E4C" w:rsidRPr="00C55E4C">
        <w:rPr>
          <w:rFonts w:ascii="Arial" w:hAnsi="Arial" w:cs="Arial"/>
          <w:sz w:val="24"/>
          <w:szCs w:val="20"/>
          <w:lang w:val="es-US"/>
        </w:rPr>
        <w:t>la propuesta de trabajo</w:t>
      </w:r>
    </w:p>
    <w:p w14:paraId="07721C2D" w14:textId="77777777" w:rsidR="005024FB" w:rsidRDefault="005024FB" w:rsidP="00AC0318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1759B399" w14:textId="77777777" w:rsidR="00226B4A" w:rsidRPr="00642320" w:rsidRDefault="00226B4A" w:rsidP="00226B4A">
      <w:pPr>
        <w:spacing w:after="40"/>
        <w:jc w:val="center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>PROPUESTA DE TRABAJO MONOGRÁFICO</w:t>
      </w:r>
    </w:p>
    <w:p w14:paraId="674BB206" w14:textId="77777777" w:rsidR="00226B4A" w:rsidRPr="00642320" w:rsidRDefault="00226B4A" w:rsidP="00226B4A">
      <w:pPr>
        <w:spacing w:after="300"/>
        <w:jc w:val="center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Temas, ejes y puntos a desarrollar</w:t>
      </w:r>
    </w:p>
    <w:p w14:paraId="0E1D74DB" w14:textId="77777777" w:rsidR="00226B4A" w:rsidRPr="00642320" w:rsidRDefault="00226B4A" w:rsidP="00226B4A">
      <w:pPr>
        <w:spacing w:after="300"/>
        <w:jc w:val="center"/>
        <w:rPr>
          <w:rFonts w:ascii="Arial" w:hAnsi="Arial" w:cs="Arial"/>
          <w:sz w:val="24"/>
          <w:szCs w:val="24"/>
        </w:rPr>
      </w:pPr>
    </w:p>
    <w:p w14:paraId="5DF9736C" w14:textId="33DAED14" w:rsidR="00226B4A" w:rsidRPr="00642320" w:rsidRDefault="003A2E09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 xml:space="preserve">Propuestas </w:t>
      </w:r>
      <w:r w:rsidR="00226B4A" w:rsidRPr="00642320">
        <w:rPr>
          <w:rFonts w:ascii="Arial" w:hAnsi="Arial" w:cs="Arial"/>
          <w:sz w:val="24"/>
          <w:szCs w:val="24"/>
        </w:rPr>
        <w:t xml:space="preserve">temáticas para el trabajo monográfico, junto con los ejes centrales y los puntos que cada </w:t>
      </w:r>
      <w:r w:rsidRPr="00642320">
        <w:rPr>
          <w:rFonts w:ascii="Arial" w:hAnsi="Arial" w:cs="Arial"/>
          <w:sz w:val="24"/>
          <w:szCs w:val="24"/>
        </w:rPr>
        <w:t>pareja de</w:t>
      </w:r>
      <w:r w:rsidR="00226B4A" w:rsidRPr="00642320">
        <w:rPr>
          <w:rFonts w:ascii="Arial" w:hAnsi="Arial" w:cs="Arial"/>
          <w:sz w:val="24"/>
          <w:szCs w:val="24"/>
        </w:rPr>
        <w:t xml:space="preserve"> alumno deberá tener en cuenta al desarrollarlas. Estas propuestas se articulan con los criterios de evaluación, pautas y requisitos ya establecidos previamente. Al final se incluye la posibilidad de que los alumnos propongan un tema alternativo, sujeto a aprobación docente.</w:t>
      </w:r>
    </w:p>
    <w:p w14:paraId="45CDD34C" w14:textId="77777777" w:rsidR="00226B4A" w:rsidRPr="00642320" w:rsidRDefault="00226B4A" w:rsidP="00226B4A">
      <w:pPr>
        <w:pBdr>
          <w:bottom w:val="single" w:sz="4" w:space="1" w:color="BFBFBF"/>
        </w:pBdr>
        <w:spacing w:before="300" w:after="300"/>
        <w:jc w:val="both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26B4A" w:rsidRPr="00642320" w14:paraId="5CF70013" w14:textId="77777777" w:rsidTr="007D44CC">
        <w:tc>
          <w:tcPr>
            <w:tcW w:w="9360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42FD504" w14:textId="77777777" w:rsidR="00226B4A" w:rsidRPr="00642320" w:rsidRDefault="00226B4A" w:rsidP="007D44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TEMA 1</w:t>
            </w:r>
          </w:p>
          <w:p w14:paraId="3A0BBC17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El Tratado de Versalles</w:t>
            </w:r>
          </w:p>
          <w:p w14:paraId="6F3B9CB0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sz w:val="24"/>
                <w:szCs w:val="24"/>
              </w:rPr>
              <w:t>De la paz impuesta a las semillas de un nuevo conflicto</w:t>
            </w:r>
          </w:p>
        </w:tc>
      </w:tr>
    </w:tbl>
    <w:p w14:paraId="0ACAC7BA" w14:textId="77777777" w:rsidR="00226B4A" w:rsidRPr="00642320" w:rsidRDefault="00226B4A" w:rsidP="00226B4A">
      <w:pPr>
        <w:spacing w:after="200"/>
        <w:jc w:val="both"/>
        <w:rPr>
          <w:rFonts w:ascii="Arial" w:hAnsi="Arial" w:cs="Arial"/>
          <w:sz w:val="24"/>
          <w:szCs w:val="24"/>
        </w:rPr>
      </w:pPr>
    </w:p>
    <w:p w14:paraId="205CD07C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Fundamentación</w:t>
      </w:r>
    </w:p>
    <w:p w14:paraId="23B6FB71" w14:textId="77777777" w:rsidR="00226B4A" w:rsidRPr="00642320" w:rsidRDefault="00226B4A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El Tratado de Versalles (1919) puso fin formal a la Primera Guerra Mundial, pero sus condiciones —territoriales, militares y económicas— generaron un resentimiento profundo en Alemania que años después sería utilizado como base del discurso nacionalsocialista. Analizarlo permite comprender el eslabón entre ambas guerras mundiales.</w:t>
      </w:r>
    </w:p>
    <w:p w14:paraId="3DD8E216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Ejes centrales</w:t>
      </w:r>
    </w:p>
    <w:p w14:paraId="44663D22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1 – Contexto y negociación: </w:t>
      </w:r>
      <w:r w:rsidRPr="00642320">
        <w:rPr>
          <w:rFonts w:ascii="Arial" w:hAnsi="Arial" w:cs="Arial"/>
          <w:sz w:val="24"/>
          <w:szCs w:val="24"/>
        </w:rPr>
        <w:t>la Conferencia de Paz de París, los "Cuatro Grandes" (Wilson, Clemenceau, Lloyd George, Orlando) y sus intereses contrapuestos.</w:t>
      </w:r>
    </w:p>
    <w:p w14:paraId="214424B5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2 – Las cláusulas del tratado: </w:t>
      </w:r>
      <w:r w:rsidRPr="00642320">
        <w:rPr>
          <w:rFonts w:ascii="Arial" w:hAnsi="Arial" w:cs="Arial"/>
          <w:sz w:val="24"/>
          <w:szCs w:val="24"/>
        </w:rPr>
        <w:t>cláusula de culpabilidad de guerra (art. 231), reparaciones económicas, desarme militar y pérdidas territoriales alemanas.</w:t>
      </w:r>
    </w:p>
    <w:p w14:paraId="4E41080C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3 – Reconfiguración del mapa europeo: </w:t>
      </w:r>
      <w:r w:rsidRPr="00642320">
        <w:rPr>
          <w:rFonts w:ascii="Arial" w:hAnsi="Arial" w:cs="Arial"/>
          <w:sz w:val="24"/>
          <w:szCs w:val="24"/>
        </w:rPr>
        <w:t>desmembramiento de los imperios Austrohúngaro y Otomano, creación de nuevos Estados y el principio de autodeterminación de los pueblos.</w:t>
      </w:r>
    </w:p>
    <w:p w14:paraId="2FDE9B76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4 – La Sociedad de las Naciones: </w:t>
      </w:r>
      <w:r w:rsidRPr="00642320">
        <w:rPr>
          <w:rFonts w:ascii="Arial" w:hAnsi="Arial" w:cs="Arial"/>
          <w:sz w:val="24"/>
          <w:szCs w:val="24"/>
        </w:rPr>
        <w:t>su creación, objetivos, límites y fracaso como garante de la paz.</w:t>
      </w:r>
    </w:p>
    <w:p w14:paraId="09FED550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5 – Consecuencias y crítica histórica: </w:t>
      </w:r>
      <w:r w:rsidRPr="00642320">
        <w:rPr>
          <w:rFonts w:ascii="Arial" w:hAnsi="Arial" w:cs="Arial"/>
          <w:sz w:val="24"/>
          <w:szCs w:val="24"/>
        </w:rPr>
        <w:t>la crisis económica alemana, el resentimiento nacional y la interpretación del tratado como "paz cartaginesa" (Keynes).</w:t>
      </w:r>
    </w:p>
    <w:p w14:paraId="104A1091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Puntos a tener en cuenta</w:t>
      </w:r>
    </w:p>
    <w:p w14:paraId="046A4E7D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Diferenciar entre las condiciones impuestas y su recepción/interpretación en la sociedad alemana de la época.</w:t>
      </w:r>
    </w:p>
    <w:p w14:paraId="7D51D3A5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Incorporar al menos una fuente primaria (fragmento del tratado, discurso o caricatura política de la época) y analizarla críticamente.</w:t>
      </w:r>
    </w:p>
    <w:p w14:paraId="473150A9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Establecer una relación explícita entre el Tratado de Versalles y el ascenso de los totalitarismos (vínculo con el Tema 2).</w:t>
      </w:r>
    </w:p>
    <w:p w14:paraId="49F036A4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Evitar el relato meramente cronológico: priorizar el análisis causal (¿por qué el tratado fracasó en asegurar la paz?).</w:t>
      </w:r>
    </w:p>
    <w:p w14:paraId="1F6D03DA" w14:textId="77777777" w:rsidR="00226B4A" w:rsidRPr="00642320" w:rsidRDefault="00226B4A" w:rsidP="00226B4A">
      <w:pPr>
        <w:pBdr>
          <w:bottom w:val="single" w:sz="4" w:space="1" w:color="BFBFBF"/>
        </w:pBdr>
        <w:spacing w:before="300" w:after="300"/>
        <w:jc w:val="both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26B4A" w:rsidRPr="00642320" w14:paraId="355DB5C9" w14:textId="77777777" w:rsidTr="007D44CC">
        <w:tc>
          <w:tcPr>
            <w:tcW w:w="9360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439869B" w14:textId="77777777" w:rsidR="00226B4A" w:rsidRPr="00642320" w:rsidRDefault="00226B4A" w:rsidP="007D44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TEMA 2</w:t>
            </w:r>
          </w:p>
          <w:p w14:paraId="1DEDBBEE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Regímenes totalitarios</w:t>
            </w:r>
          </w:p>
          <w:p w14:paraId="444F6836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sz w:val="24"/>
                <w:szCs w:val="24"/>
              </w:rPr>
              <w:t>Nazismo, fascismo o comunismo: elegir un caso de estudio</w:t>
            </w:r>
          </w:p>
        </w:tc>
      </w:tr>
    </w:tbl>
    <w:p w14:paraId="6713B583" w14:textId="77777777" w:rsidR="00226B4A" w:rsidRPr="00642320" w:rsidRDefault="00226B4A" w:rsidP="00226B4A">
      <w:pPr>
        <w:spacing w:after="200"/>
        <w:jc w:val="both"/>
        <w:rPr>
          <w:rFonts w:ascii="Arial" w:hAnsi="Arial" w:cs="Arial"/>
          <w:sz w:val="24"/>
          <w:szCs w:val="24"/>
        </w:rPr>
      </w:pPr>
    </w:p>
    <w:p w14:paraId="7A274617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Fundamentación</w:t>
      </w:r>
    </w:p>
    <w:p w14:paraId="4FB8E8F3" w14:textId="4C869C56" w:rsidR="00226B4A" w:rsidRPr="00642320" w:rsidRDefault="00226B4A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 xml:space="preserve">Los regímenes totalitarios del siglo XX transformaron la relación entre el Estado, la sociedad y el individuo. Se propone que cada </w:t>
      </w:r>
      <w:r w:rsidR="00642320">
        <w:rPr>
          <w:rFonts w:ascii="Arial" w:hAnsi="Arial" w:cs="Arial"/>
          <w:sz w:val="24"/>
          <w:szCs w:val="24"/>
        </w:rPr>
        <w:t>pareja</w:t>
      </w:r>
      <w:r w:rsidRPr="00642320">
        <w:rPr>
          <w:rFonts w:ascii="Arial" w:hAnsi="Arial" w:cs="Arial"/>
          <w:sz w:val="24"/>
          <w:szCs w:val="24"/>
        </w:rPr>
        <w:t xml:space="preserve"> seleccione uno de los tres casos —nazismo, fascismo italiano o comunismo soviético (</w:t>
      </w:r>
      <w:proofErr w:type="spellStart"/>
      <w:r w:rsidRPr="00642320">
        <w:rPr>
          <w:rFonts w:ascii="Arial" w:hAnsi="Arial" w:cs="Arial"/>
          <w:sz w:val="24"/>
          <w:szCs w:val="24"/>
        </w:rPr>
        <w:t>stalinismo</w:t>
      </w:r>
      <w:proofErr w:type="spellEnd"/>
      <w:r w:rsidRPr="00642320">
        <w:rPr>
          <w:rFonts w:ascii="Arial" w:hAnsi="Arial" w:cs="Arial"/>
          <w:sz w:val="24"/>
          <w:szCs w:val="24"/>
        </w:rPr>
        <w:t>)— para realizar un análisis en profundidad, evitando la superficialidad de abordar los tres a la vez.</w:t>
      </w:r>
    </w:p>
    <w:p w14:paraId="03CD9137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Ejes centrales</w:t>
      </w:r>
    </w:p>
    <w:p w14:paraId="0048A3C8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1 – Condiciones de surgimiento: </w:t>
      </w:r>
      <w:r w:rsidRPr="00642320">
        <w:rPr>
          <w:rFonts w:ascii="Arial" w:hAnsi="Arial" w:cs="Arial"/>
          <w:sz w:val="24"/>
          <w:szCs w:val="24"/>
        </w:rPr>
        <w:t xml:space="preserve">crisis económica, política y social que favoreció el ascenso del régimen elegido (crisis de la República de </w:t>
      </w:r>
      <w:r w:rsidRPr="00642320">
        <w:rPr>
          <w:rFonts w:ascii="Arial" w:hAnsi="Arial" w:cs="Arial"/>
          <w:sz w:val="24"/>
          <w:szCs w:val="24"/>
        </w:rPr>
        <w:lastRenderedPageBreak/>
        <w:t>Weimar, crisis del liberalismo italiano, guerra civil y revolución rusa, según el caso).</w:t>
      </w:r>
    </w:p>
    <w:p w14:paraId="7DBFD6FD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2 – Ideología y liderazgo: </w:t>
      </w:r>
      <w:r w:rsidRPr="00642320">
        <w:rPr>
          <w:rFonts w:ascii="Arial" w:hAnsi="Arial" w:cs="Arial"/>
          <w:sz w:val="24"/>
          <w:szCs w:val="24"/>
        </w:rPr>
        <w:t>el culto a la personalidad, el rol del partido único y los fundamentos ideológicos (racismo y espacio vital en el nazismo; nacionalismo corporativista en el fascismo; dictadura del proletariado y colectivización en el comunismo soviético).</w:t>
      </w:r>
    </w:p>
    <w:p w14:paraId="43A7B5FA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3 – Mecanismos de control social: </w:t>
      </w:r>
      <w:r w:rsidRPr="00642320">
        <w:rPr>
          <w:rFonts w:ascii="Arial" w:hAnsi="Arial" w:cs="Arial"/>
          <w:sz w:val="24"/>
          <w:szCs w:val="24"/>
        </w:rPr>
        <w:t>propaganda, uso de la violencia y el terror estatal, aparatos represivos (Gestapo, OVRA, NKVD), censura y adoctrinamiento (educación, juventudes).</w:t>
      </w:r>
    </w:p>
    <w:p w14:paraId="13FD08AC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4 – Política económica: </w:t>
      </w:r>
      <w:r w:rsidRPr="00642320">
        <w:rPr>
          <w:rFonts w:ascii="Arial" w:hAnsi="Arial" w:cs="Arial"/>
          <w:sz w:val="24"/>
          <w:szCs w:val="24"/>
        </w:rPr>
        <w:t>la intervención estatal en la economía y sus objetivos (rearme, autarquía, planificación quinquenal).</w:t>
      </w:r>
    </w:p>
    <w:p w14:paraId="6D426195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5 – Consecuencias humanas y políticas: </w:t>
      </w:r>
      <w:r w:rsidRPr="00642320">
        <w:rPr>
          <w:rFonts w:ascii="Arial" w:hAnsi="Arial" w:cs="Arial"/>
          <w:sz w:val="24"/>
          <w:szCs w:val="24"/>
        </w:rPr>
        <w:t>persecución de opositores y minorías, campos de concentración/trabajo forzado, y su legado en la memoria histórica.</w:t>
      </w:r>
    </w:p>
    <w:p w14:paraId="26A68CB0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Puntos a tener en cuenta</w:t>
      </w:r>
    </w:p>
    <w:p w14:paraId="5E7003A4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Elegir un único régimen como eje del trabajo; las comparaciones con los otros dos son válidas solo como referencia puntual, no como estructura central.</w:t>
      </w:r>
    </w:p>
    <w:p w14:paraId="0A48A444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Distinguir claramente entre totalitarismo y autoritarismo, y justificar por qué el caso elegido corresponde a la primera categoría.</w:t>
      </w:r>
    </w:p>
    <w:p w14:paraId="1FD27795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Incluir el análisis de al menos una fuente de propaganda (afiche, discurso, film) del régimen seleccionado.</w:t>
      </w:r>
    </w:p>
    <w:p w14:paraId="68424F6A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Reflexionar sobre el rol de la sociedad civil: ¿adhesión, consenso, resistencia o coerción?</w:t>
      </w:r>
    </w:p>
    <w:p w14:paraId="52ED8FDD" w14:textId="77777777" w:rsidR="00226B4A" w:rsidRPr="00642320" w:rsidRDefault="00226B4A" w:rsidP="00226B4A">
      <w:pPr>
        <w:pBdr>
          <w:bottom w:val="single" w:sz="4" w:space="1" w:color="BFBFBF"/>
        </w:pBdr>
        <w:spacing w:before="300" w:after="300"/>
        <w:jc w:val="both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26B4A" w:rsidRPr="00642320" w14:paraId="08490361" w14:textId="77777777" w:rsidTr="007D44CC">
        <w:tc>
          <w:tcPr>
            <w:tcW w:w="9360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EB502DF" w14:textId="77777777" w:rsidR="00226B4A" w:rsidRPr="00642320" w:rsidRDefault="00226B4A" w:rsidP="007D44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TEMA 3</w:t>
            </w:r>
          </w:p>
          <w:p w14:paraId="013C334E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b/>
                <w:bCs/>
                <w:sz w:val="24"/>
                <w:szCs w:val="24"/>
              </w:rPr>
              <w:t>La Segunda Guerra Mundial y sus consecuencias</w:t>
            </w:r>
          </w:p>
          <w:p w14:paraId="7D88E869" w14:textId="77777777" w:rsidR="00226B4A" w:rsidRPr="00642320" w:rsidRDefault="00226B4A" w:rsidP="007D44CC">
            <w:pPr>
              <w:spacing w:before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42320">
              <w:rPr>
                <w:rFonts w:ascii="Arial" w:hAnsi="Arial" w:cs="Arial"/>
                <w:sz w:val="24"/>
                <w:szCs w:val="24"/>
              </w:rPr>
              <w:t>Del fin de la guerra a la reconfiguración del orden mundial</w:t>
            </w:r>
          </w:p>
        </w:tc>
      </w:tr>
    </w:tbl>
    <w:p w14:paraId="74134939" w14:textId="77777777" w:rsidR="00226B4A" w:rsidRPr="00642320" w:rsidRDefault="00226B4A" w:rsidP="00226B4A">
      <w:pPr>
        <w:spacing w:after="200"/>
        <w:jc w:val="both"/>
        <w:rPr>
          <w:rFonts w:ascii="Arial" w:hAnsi="Arial" w:cs="Arial"/>
          <w:sz w:val="24"/>
          <w:szCs w:val="24"/>
        </w:rPr>
      </w:pPr>
    </w:p>
    <w:p w14:paraId="22ECF743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Fundamentación</w:t>
      </w:r>
    </w:p>
    <w:p w14:paraId="77D67A03" w14:textId="77777777" w:rsidR="00226B4A" w:rsidRPr="00642320" w:rsidRDefault="00226B4A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Este tema propone abordar no el desarrollo bélico en sí, sino el impacto y las transformaciones que la guerra generó a escala global y regional. Dado que es un tema amplio, se sugiere que cada grupo priorice un eje o una combinación acotada de ejes (por ejemplo, dos), en lugar de abarcarlos todos de forma superficial.</w:t>
      </w:r>
    </w:p>
    <w:p w14:paraId="7A13B986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Ejes centrales (a elegir uno o combinar dos)</w:t>
      </w:r>
    </w:p>
    <w:p w14:paraId="61C1545F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A – La era nuclear: </w:t>
      </w:r>
      <w:r w:rsidRPr="00642320">
        <w:rPr>
          <w:rFonts w:ascii="Arial" w:hAnsi="Arial" w:cs="Arial"/>
          <w:sz w:val="24"/>
          <w:szCs w:val="24"/>
        </w:rPr>
        <w:t>el Proyecto Manhattan, las bombas de Hiroshima y Nagasaki, y el inicio de la carrera armamentista y la disuasión nuclear en la Guerra Fría.</w:t>
      </w:r>
    </w:p>
    <w:p w14:paraId="50CEA2BE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B – Derechos humanos y civiles de posguerra: </w:t>
      </w:r>
      <w:r w:rsidRPr="00642320">
        <w:rPr>
          <w:rFonts w:ascii="Arial" w:hAnsi="Arial" w:cs="Arial"/>
          <w:sz w:val="24"/>
          <w:szCs w:val="24"/>
        </w:rPr>
        <w:t>el Holocausto como antecedente, los Juicios de Núremberg, la Declaración Universal de los Derechos Humanos (1948) y la creación de la ONU.</w:t>
      </w:r>
    </w:p>
    <w:p w14:paraId="224631E3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C – Descolonización: </w:t>
      </w:r>
      <w:r w:rsidRPr="00642320">
        <w:rPr>
          <w:rFonts w:ascii="Arial" w:hAnsi="Arial" w:cs="Arial"/>
          <w:sz w:val="24"/>
          <w:szCs w:val="24"/>
        </w:rPr>
        <w:t>el debilitamiento de las potencias europeas, los procesos de independencia en Asia y África, y su vínculo con la Guerra Fría.</w:t>
      </w:r>
    </w:p>
    <w:p w14:paraId="79F4834A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b/>
          <w:bCs/>
          <w:sz w:val="24"/>
          <w:szCs w:val="24"/>
        </w:rPr>
        <w:t xml:space="preserve">Eje D – Impacto y posguerra en América Latina: </w:t>
      </w:r>
      <w:r w:rsidRPr="00642320">
        <w:rPr>
          <w:rFonts w:ascii="Arial" w:hAnsi="Arial" w:cs="Arial"/>
          <w:sz w:val="24"/>
          <w:szCs w:val="24"/>
        </w:rPr>
        <w:t>la relación con Estados Unidos, el modelo de industrialización por sustitución de importaciones (ISI), los cambios geopolíticos regionales y el ingreso de la región en la lógica bipolar.</w:t>
      </w:r>
    </w:p>
    <w:p w14:paraId="345DA612" w14:textId="77777777" w:rsidR="00226B4A" w:rsidRPr="00642320" w:rsidRDefault="00226B4A" w:rsidP="00226B4A">
      <w:pPr>
        <w:pStyle w:val="Ttulo2"/>
        <w:spacing w:before="260" w:after="12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Puntos a tener en cuenta</w:t>
      </w:r>
    </w:p>
    <w:p w14:paraId="07B8C181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Delimitar el recorte: no es viable (ni deseable) desarrollar los cuatro ejes con profundidad en un solo trabajo.</w:t>
      </w:r>
    </w:p>
    <w:p w14:paraId="55E437D8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Justificar la elección del eje o los ejes en la introducción, explicando su relevancia histórica.</w:t>
      </w:r>
    </w:p>
    <w:p w14:paraId="2F3F4C56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Establecer relaciones causales entre el fin de la guerra y la transformación elegida (no solo describir el "antes y el después").</w:t>
      </w:r>
    </w:p>
    <w:p w14:paraId="2A60442E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Si se elige el eje latinoamericano, incorporar al menos un caso nacional concreto como ejemplo.</w:t>
      </w:r>
    </w:p>
    <w:p w14:paraId="4A245062" w14:textId="77777777" w:rsidR="00226B4A" w:rsidRPr="00642320" w:rsidRDefault="00226B4A" w:rsidP="00226B4A">
      <w:pPr>
        <w:pBdr>
          <w:bottom w:val="single" w:sz="4" w:space="1" w:color="BFBFBF"/>
        </w:pBdr>
        <w:spacing w:before="300" w:after="300"/>
        <w:jc w:val="both"/>
        <w:rPr>
          <w:rFonts w:ascii="Arial" w:hAnsi="Arial" w:cs="Arial"/>
          <w:sz w:val="24"/>
          <w:szCs w:val="24"/>
        </w:rPr>
      </w:pPr>
    </w:p>
    <w:p w14:paraId="6E2C97DD" w14:textId="77777777" w:rsidR="00226B4A" w:rsidRPr="00642320" w:rsidRDefault="00226B4A" w:rsidP="00226B4A">
      <w:pPr>
        <w:pStyle w:val="Ttulo1"/>
        <w:pBdr>
          <w:bottom w:val="single" w:sz="6" w:space="4" w:color="1F3864"/>
        </w:pBdr>
        <w:spacing w:after="16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Posibilidad de tema propuesto por los alumnos</w:t>
      </w:r>
    </w:p>
    <w:p w14:paraId="3FCAF870" w14:textId="77777777" w:rsidR="00226B4A" w:rsidRPr="00642320" w:rsidRDefault="00226B4A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Se habilita también que los alumnos propongan un tema alternativo al docente, siempre que se enmarque dentro del período histórico trabajado (entreguerras, totalitarismos y Segunda Guerra Mundial) y cumpla con las siguientes condiciones:</w:t>
      </w:r>
    </w:p>
    <w:p w14:paraId="68A9C3F7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Presentar el tema propuesto junto con una justificación breve de su relevancia histórica.</w:t>
      </w:r>
    </w:p>
    <w:p w14:paraId="53CFCE6B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Indicar al menos dos ejes o líneas de análisis posibles, siguiendo la misma lógica de los temas anteriores.</w:t>
      </w:r>
    </w:p>
    <w:p w14:paraId="662ECA17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Contar con la aprobación previa del docente antes de comenzar la investigación, verificando la existencia de fuentes y bibliografía accesible.</w:t>
      </w:r>
    </w:p>
    <w:p w14:paraId="2C0BD1C9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Cumplir con los mismos criterios de evaluación, pautas y requisitos generales ya establecidos para toda la monografía.</w:t>
      </w:r>
    </w:p>
    <w:p w14:paraId="5C7BE868" w14:textId="77777777" w:rsidR="00226B4A" w:rsidRPr="00642320" w:rsidRDefault="00226B4A" w:rsidP="00226B4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Ejemplos orientativos de temas que los alumnos podrían proponer: la Resistencia europea y los movimientos de colaboracionismo; el rol de las mujeres durante la guerra; el frente del Pacífico y la guerra en Asia; el Plan Marshall y la reconstrucción de Europa; o el Holocausto como objeto de estudio específico.</w:t>
      </w:r>
    </w:p>
    <w:p w14:paraId="188FB633" w14:textId="77777777" w:rsidR="00226B4A" w:rsidRPr="00642320" w:rsidRDefault="00226B4A" w:rsidP="00226B4A">
      <w:pPr>
        <w:pBdr>
          <w:bottom w:val="single" w:sz="4" w:space="1" w:color="BFBFBF"/>
        </w:pBdr>
        <w:spacing w:before="300" w:after="300"/>
        <w:jc w:val="both"/>
        <w:rPr>
          <w:rFonts w:ascii="Arial" w:hAnsi="Arial" w:cs="Arial"/>
          <w:sz w:val="24"/>
          <w:szCs w:val="24"/>
        </w:rPr>
      </w:pPr>
    </w:p>
    <w:p w14:paraId="5C4D82E4" w14:textId="77777777" w:rsidR="00226B4A" w:rsidRPr="00642320" w:rsidRDefault="00226B4A" w:rsidP="00226B4A">
      <w:pPr>
        <w:pStyle w:val="Ttulo1"/>
        <w:pBdr>
          <w:bottom w:val="single" w:sz="6" w:space="4" w:color="1F3864"/>
        </w:pBdr>
        <w:spacing w:after="160"/>
        <w:jc w:val="both"/>
        <w:rPr>
          <w:rFonts w:ascii="Arial" w:hAnsi="Arial" w:cs="Arial"/>
          <w:color w:val="auto"/>
          <w:sz w:val="24"/>
          <w:szCs w:val="24"/>
        </w:rPr>
      </w:pPr>
      <w:r w:rsidRPr="00642320">
        <w:rPr>
          <w:rFonts w:ascii="Arial" w:hAnsi="Arial" w:cs="Arial"/>
          <w:b/>
          <w:bCs/>
          <w:color w:val="auto"/>
          <w:sz w:val="24"/>
          <w:szCs w:val="24"/>
        </w:rPr>
        <w:t>Recomendaciones generales para el desarrollo de la monografía</w:t>
      </w:r>
    </w:p>
    <w:p w14:paraId="24A33FCB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Estructurar el trabajo en introducción (presentación del tema y los ejes elegidos), desarrollo (organizado por eje) y conclusión (síntesis y reflexión personal).</w:t>
      </w:r>
    </w:p>
    <w:p w14:paraId="25D315DB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Utilizar bibliografía variada: manuales, textos historiográficos y, cuando sea posible, fuentes primarias.</w:t>
      </w:r>
    </w:p>
    <w:p w14:paraId="2DFA347F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Citar correctamente todas las fuentes utilizadas, respetando las normas de citación acordadas con el docente.</w:t>
      </w:r>
    </w:p>
    <w:p w14:paraId="72BCBFFB" w14:textId="77777777" w:rsidR="00226B4A" w:rsidRPr="00642320" w:rsidRDefault="00226B4A" w:rsidP="00226B4A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Evitar la copia textual de internet o manuales sin el debido procesamiento y cita; priorizar el análisis y la voz propia por sobre la descripción.</w:t>
      </w:r>
    </w:p>
    <w:p w14:paraId="3BC2A2A9" w14:textId="25B797B5" w:rsidR="00226B4A" w:rsidRPr="00642320" w:rsidRDefault="00226B4A" w:rsidP="00642320">
      <w:pPr>
        <w:pStyle w:val="Prrafodelista"/>
        <w:numPr>
          <w:ilvl w:val="0"/>
          <w:numId w:val="34"/>
        </w:numPr>
        <w:spacing w:after="6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642320">
        <w:rPr>
          <w:rFonts w:ascii="Arial" w:hAnsi="Arial" w:cs="Arial"/>
          <w:sz w:val="24"/>
          <w:szCs w:val="24"/>
        </w:rPr>
        <w:t>Revisar que el trabajo final cumpla con todas las pautas de evaluación, criterios y requisitos entregados previamente por el docente.</w:t>
      </w:r>
    </w:p>
    <w:sectPr w:rsidR="00226B4A" w:rsidRPr="0064232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8017" w14:textId="77777777" w:rsidR="00A4336D" w:rsidRDefault="00A4336D" w:rsidP="00C77386">
      <w:pPr>
        <w:spacing w:after="0" w:line="240" w:lineRule="auto"/>
      </w:pPr>
      <w:r>
        <w:separator/>
      </w:r>
    </w:p>
  </w:endnote>
  <w:endnote w:type="continuationSeparator" w:id="0">
    <w:p w14:paraId="0C88DFF1" w14:textId="77777777" w:rsidR="00A4336D" w:rsidRDefault="00A4336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6391" w14:textId="77777777" w:rsidR="00A4336D" w:rsidRDefault="00A4336D" w:rsidP="00C77386">
      <w:pPr>
        <w:spacing w:after="0" w:line="240" w:lineRule="auto"/>
      </w:pPr>
      <w:r>
        <w:separator/>
      </w:r>
    </w:p>
  </w:footnote>
  <w:footnote w:type="continuationSeparator" w:id="0">
    <w:p w14:paraId="14B42614" w14:textId="77777777" w:rsidR="00A4336D" w:rsidRDefault="00A4336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2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0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5"/>
  </w:num>
  <w:num w:numId="3" w16cid:durableId="968820464">
    <w:abstractNumId w:val="26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4"/>
  </w:num>
  <w:num w:numId="9" w16cid:durableId="594174311">
    <w:abstractNumId w:val="34"/>
  </w:num>
  <w:num w:numId="10" w16cid:durableId="985162260">
    <w:abstractNumId w:val="31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7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2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0"/>
  </w:num>
  <w:num w:numId="20" w16cid:durableId="190460350">
    <w:abstractNumId w:val="32"/>
  </w:num>
  <w:num w:numId="21" w16cid:durableId="1737626013">
    <w:abstractNumId w:val="28"/>
  </w:num>
  <w:num w:numId="22" w16cid:durableId="1897817763">
    <w:abstractNumId w:val="23"/>
  </w:num>
  <w:num w:numId="23" w16cid:durableId="1591889611">
    <w:abstractNumId w:val="33"/>
  </w:num>
  <w:num w:numId="24" w16cid:durableId="1230068746">
    <w:abstractNumId w:val="17"/>
  </w:num>
  <w:num w:numId="25" w16cid:durableId="927737039">
    <w:abstractNumId w:val="20"/>
  </w:num>
  <w:num w:numId="26" w16cid:durableId="721252579">
    <w:abstractNumId w:val="8"/>
  </w:num>
  <w:num w:numId="27" w16cid:durableId="994601980">
    <w:abstractNumId w:val="29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1"/>
    <w:lvlOverride w:ilvl="0">
      <w:startOverride w:val="1"/>
    </w:lvlOverride>
  </w:num>
  <w:num w:numId="35" w16cid:durableId="15600209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4AF8"/>
    <w:rsid w:val="000407E0"/>
    <w:rsid w:val="00056BD3"/>
    <w:rsid w:val="00073CE9"/>
    <w:rsid w:val="00074437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B76F6"/>
    <w:rsid w:val="001C049C"/>
    <w:rsid w:val="001D7107"/>
    <w:rsid w:val="001E19F7"/>
    <w:rsid w:val="002174AB"/>
    <w:rsid w:val="002243C3"/>
    <w:rsid w:val="00226B4A"/>
    <w:rsid w:val="00232FA1"/>
    <w:rsid w:val="00240378"/>
    <w:rsid w:val="00244D5D"/>
    <w:rsid w:val="00250CC3"/>
    <w:rsid w:val="0025770A"/>
    <w:rsid w:val="00260450"/>
    <w:rsid w:val="002813AE"/>
    <w:rsid w:val="002C4BB7"/>
    <w:rsid w:val="002C60CB"/>
    <w:rsid w:val="002D4919"/>
    <w:rsid w:val="002D4BE5"/>
    <w:rsid w:val="002F0CE7"/>
    <w:rsid w:val="003019D3"/>
    <w:rsid w:val="00311B04"/>
    <w:rsid w:val="00326F99"/>
    <w:rsid w:val="00332B02"/>
    <w:rsid w:val="00340CD5"/>
    <w:rsid w:val="0034349E"/>
    <w:rsid w:val="00344B26"/>
    <w:rsid w:val="00347CA7"/>
    <w:rsid w:val="00354CFD"/>
    <w:rsid w:val="00364BF4"/>
    <w:rsid w:val="003729F4"/>
    <w:rsid w:val="0038413C"/>
    <w:rsid w:val="00395473"/>
    <w:rsid w:val="00396F7A"/>
    <w:rsid w:val="003A2E09"/>
    <w:rsid w:val="003A677E"/>
    <w:rsid w:val="003B0682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50DE8"/>
    <w:rsid w:val="00453225"/>
    <w:rsid w:val="00481954"/>
    <w:rsid w:val="004860FD"/>
    <w:rsid w:val="004A6119"/>
    <w:rsid w:val="004C068C"/>
    <w:rsid w:val="004D5D08"/>
    <w:rsid w:val="004E6E00"/>
    <w:rsid w:val="004F6E55"/>
    <w:rsid w:val="005024FB"/>
    <w:rsid w:val="00530C44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2080"/>
    <w:rsid w:val="006D7F00"/>
    <w:rsid w:val="006E4DB5"/>
    <w:rsid w:val="006F08CF"/>
    <w:rsid w:val="006F4CFC"/>
    <w:rsid w:val="0070326B"/>
    <w:rsid w:val="0071178C"/>
    <w:rsid w:val="007244C0"/>
    <w:rsid w:val="00725CAD"/>
    <w:rsid w:val="00725CC6"/>
    <w:rsid w:val="007260EC"/>
    <w:rsid w:val="007306DE"/>
    <w:rsid w:val="007359BA"/>
    <w:rsid w:val="00736304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3555"/>
    <w:rsid w:val="007F3E8B"/>
    <w:rsid w:val="007F5808"/>
    <w:rsid w:val="008053B3"/>
    <w:rsid w:val="0083463B"/>
    <w:rsid w:val="00841A9D"/>
    <w:rsid w:val="008447E3"/>
    <w:rsid w:val="00862770"/>
    <w:rsid w:val="00864762"/>
    <w:rsid w:val="008878E9"/>
    <w:rsid w:val="008940B3"/>
    <w:rsid w:val="008947B6"/>
    <w:rsid w:val="008C394B"/>
    <w:rsid w:val="008D62BB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A5D65"/>
    <w:rsid w:val="009B0634"/>
    <w:rsid w:val="009C5E66"/>
    <w:rsid w:val="009C7850"/>
    <w:rsid w:val="009D2ED2"/>
    <w:rsid w:val="009F5704"/>
    <w:rsid w:val="00A172BF"/>
    <w:rsid w:val="00A212F9"/>
    <w:rsid w:val="00A263FF"/>
    <w:rsid w:val="00A32370"/>
    <w:rsid w:val="00A4336D"/>
    <w:rsid w:val="00A55B0C"/>
    <w:rsid w:val="00A62993"/>
    <w:rsid w:val="00A72D4A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E4B"/>
    <w:rsid w:val="00B34B04"/>
    <w:rsid w:val="00B45723"/>
    <w:rsid w:val="00B466CC"/>
    <w:rsid w:val="00B52180"/>
    <w:rsid w:val="00B536D9"/>
    <w:rsid w:val="00B74EF6"/>
    <w:rsid w:val="00B74F49"/>
    <w:rsid w:val="00B815B4"/>
    <w:rsid w:val="00BA5DAB"/>
    <w:rsid w:val="00BB7E66"/>
    <w:rsid w:val="00BD2437"/>
    <w:rsid w:val="00BD2BD4"/>
    <w:rsid w:val="00BD36A9"/>
    <w:rsid w:val="00C038B1"/>
    <w:rsid w:val="00C25E8F"/>
    <w:rsid w:val="00C316B8"/>
    <w:rsid w:val="00C416F4"/>
    <w:rsid w:val="00C422BD"/>
    <w:rsid w:val="00C55E4C"/>
    <w:rsid w:val="00C65911"/>
    <w:rsid w:val="00C705E0"/>
    <w:rsid w:val="00C77386"/>
    <w:rsid w:val="00C8247D"/>
    <w:rsid w:val="00C96495"/>
    <w:rsid w:val="00CC18FF"/>
    <w:rsid w:val="00CC2ABC"/>
    <w:rsid w:val="00CC734E"/>
    <w:rsid w:val="00CD5E67"/>
    <w:rsid w:val="00CE37A8"/>
    <w:rsid w:val="00CE452A"/>
    <w:rsid w:val="00CE4D53"/>
    <w:rsid w:val="00D03743"/>
    <w:rsid w:val="00D14C46"/>
    <w:rsid w:val="00D26BB3"/>
    <w:rsid w:val="00D341E7"/>
    <w:rsid w:val="00D511C2"/>
    <w:rsid w:val="00D71EA5"/>
    <w:rsid w:val="00D8419A"/>
    <w:rsid w:val="00D857AB"/>
    <w:rsid w:val="00D920EA"/>
    <w:rsid w:val="00D960E8"/>
    <w:rsid w:val="00DA43E6"/>
    <w:rsid w:val="00DB20C2"/>
    <w:rsid w:val="00DB6320"/>
    <w:rsid w:val="00E164E8"/>
    <w:rsid w:val="00E248BC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5EBB"/>
    <w:rsid w:val="00EF5721"/>
    <w:rsid w:val="00F10567"/>
    <w:rsid w:val="00F1374B"/>
    <w:rsid w:val="00F422FD"/>
    <w:rsid w:val="00F53732"/>
    <w:rsid w:val="00F56737"/>
    <w:rsid w:val="00FB6A9E"/>
    <w:rsid w:val="00FD7AF5"/>
    <w:rsid w:val="00FE0190"/>
    <w:rsid w:val="00FE5EE0"/>
    <w:rsid w:val="00FE6299"/>
    <w:rsid w:val="00FE7373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1208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144</cp:revision>
  <dcterms:created xsi:type="dcterms:W3CDTF">2026-05-24T14:09:00Z</dcterms:created>
  <dcterms:modified xsi:type="dcterms:W3CDTF">2026-09-11T18:07:00Z</dcterms:modified>
</cp:coreProperties>
</file>