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4616775</wp:posOffset>
            </wp:positionH>
            <wp:positionV relativeFrom="paragraph">
              <wp:posOffset>133197</wp:posOffset>
            </wp:positionV>
            <wp:extent cx="1109663" cy="110966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109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ffd966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color w:val="00ff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23-09-2026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2: La conformación del espacio geográfico latinoamericano y su situación actual”  de la editorial Puerto de palo.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  <w:rtl w:val="0"/>
        </w:rPr>
        <w:t xml:space="preserve">Trabajo práctico n° 40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 la calidad de vida y las necesidades básicas </w:t>
      </w:r>
    </w:p>
    <w:p w:rsidR="00000000" w:rsidDel="00000000" w:rsidP="00000000" w:rsidRDefault="00000000" w:rsidRPr="00000000" w14:paraId="0000000B">
      <w:pPr>
        <w:jc w:val="center"/>
        <w:rPr>
          <w:rFonts w:ascii="Amatic SC" w:cs="Amatic SC" w:eastAsia="Amatic SC" w:hAnsi="Amatic SC"/>
          <w:b w:val="1"/>
          <w:bCs w:val="1"/>
          <w:color w:val="4a86e8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color w:val="674ea7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es la calidad de vida?¿Cómo podemos saber si tenemos una buena calidad de vida?¿Qué situación ocurre en América Latina?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Define el término IDH.¿Cómo clasifica a los países?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es la pobreza?¿Cómo se mide?Desarrolle.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center"/>
        <w:rPr>
          <w:rFonts w:ascii="Comfortaa" w:cs="Comfortaa" w:eastAsia="Comfortaa" w:hAnsi="Comfortaa"/>
          <w:b w:val="1"/>
          <w:bCs w:val="1"/>
          <w:color w:val="8e7cc3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8"/>
          <w:szCs w:val="28"/>
          <w:rtl w:val="0"/>
        </w:rPr>
        <w:t xml:space="preserve">páginas 146 y 148</w:t>
      </w:r>
    </w:p>
    <w:p w:rsidR="00000000" w:rsidDel="00000000" w:rsidP="00000000" w:rsidRDefault="00000000" w:rsidRPr="00000000" w14:paraId="00000013">
      <w:pPr>
        <w:spacing w:after="160" w:line="259" w:lineRule="auto"/>
        <w:ind w:left="0" w:firstLine="0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zXzB56nn53BJGq/HKnbZ6NMopA==">CgMxLjA4AHIhMWY2a19FX3dYWnlLc0NOZzhEclN2T3UwU3RXQlUxazFG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