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4854155</wp:posOffset>
            </wp:positionH>
            <wp:positionV relativeFrom="paragraph">
              <wp:posOffset>252767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2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0c343d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134f5c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5818e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color w:val="45818e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6a5af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02-09-2026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Geografía 2: La conformación del espacio geográfico latinoamericano y su situación actual”  de la editorial Puerto de palo.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color w:val="4a86e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0c343d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c343d"/>
          <w:sz w:val="30"/>
          <w:szCs w:val="30"/>
          <w:u w:val="single"/>
          <w:rtl w:val="0"/>
        </w:rPr>
        <w:t xml:space="preserve">Trabajo práctico n°36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134f5c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30"/>
          <w:szCs w:val="30"/>
          <w:u w:val="single"/>
          <w:rtl w:val="0"/>
        </w:rPr>
        <w:t xml:space="preserve">El cambio climático: una preocupación global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4a86e8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b w:val="1"/>
          <w:bCs w:val="1"/>
          <w:color w:val="45818e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5818e"/>
          <w:sz w:val="24"/>
          <w:szCs w:val="24"/>
          <w:u w:val="single"/>
          <w:rtl w:val="0"/>
        </w:rPr>
        <w:t xml:space="preserve">Actividades: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diferencia hay entre cambio climático y efecto invernadero?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Realiza un dibujo explicado este hecho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consecuencia provoca?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fortaa" w:cs="Comfortaa" w:eastAsia="Comfortaa" w:hAnsi="Comfortaa"/>
          <w:b w:val="1"/>
          <w:bCs w:val="1"/>
          <w:color w:val="0c343d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0c343d"/>
          <w:sz w:val="24"/>
          <w:szCs w:val="24"/>
          <w:rtl w:val="0"/>
        </w:rPr>
        <w:t xml:space="preserve">Página 88-89</w:t>
      </w:r>
    </w:p>
    <w:p w:rsidR="00000000" w:rsidDel="00000000" w:rsidP="00000000" w:rsidRDefault="00000000" w:rsidRPr="00000000" w14:paraId="00000012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AvIJbjyytpLGnBx2djnwTSYQfg==">CgMxLjA4AHIhMUVxbjR1TGliQ1ZTSXpfYmRuZlBEY0RUM3RwMFVxYVRD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