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1AC5346D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211921">
        <w:rPr>
          <w:rFonts w:ascii="Arial" w:hAnsi="Arial" w:cs="Arial"/>
          <w:sz w:val="24"/>
          <w:szCs w:val="20"/>
        </w:rPr>
        <w:t>2 A</w:t>
      </w:r>
    </w:p>
    <w:p w14:paraId="0D01138A" w14:textId="511E7308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1D0180">
        <w:rPr>
          <w:rFonts w:ascii="Arial" w:hAnsi="Arial" w:cs="Arial"/>
          <w:sz w:val="24"/>
          <w:szCs w:val="20"/>
        </w:rPr>
        <w:t>23</w:t>
      </w:r>
      <w:r>
        <w:rPr>
          <w:rFonts w:ascii="Arial" w:hAnsi="Arial" w:cs="Arial"/>
          <w:sz w:val="24"/>
          <w:szCs w:val="20"/>
        </w:rPr>
        <w:t>-0</w:t>
      </w:r>
      <w:r w:rsidR="00A67D82">
        <w:rPr>
          <w:rFonts w:ascii="Arial" w:hAnsi="Arial" w:cs="Arial"/>
          <w:sz w:val="24"/>
          <w:szCs w:val="20"/>
        </w:rPr>
        <w:t>9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620A7A32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bookmarkStart w:id="1" w:name="_Hlk239103475"/>
      <w:r w:rsidR="00210521">
        <w:rPr>
          <w:rFonts w:ascii="Arial" w:hAnsi="Arial" w:cs="Arial"/>
          <w:sz w:val="24"/>
          <w:szCs w:val="20"/>
        </w:rPr>
        <w:t>Igualdad y Diversidad.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90</w:t>
      </w:r>
      <w:r w:rsidR="0015370F">
        <w:rPr>
          <w:rFonts w:ascii="Arial" w:hAnsi="Arial" w:cs="Arial"/>
          <w:sz w:val="24"/>
          <w:szCs w:val="20"/>
        </w:rPr>
        <w:t xml:space="preserve"> 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91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7C14EC7D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1D0180">
        <w:rPr>
          <w:rFonts w:ascii="Arial" w:hAnsi="Arial" w:cs="Arial"/>
          <w:b/>
          <w:bCs/>
          <w:sz w:val="24"/>
          <w:szCs w:val="24"/>
        </w:rPr>
        <w:t>1</w:t>
      </w:r>
    </w:p>
    <w:p w14:paraId="749005C9" w14:textId="7EDE55B5" w:rsidR="00DC54D5" w:rsidRPr="00400019" w:rsidRDefault="00CD07EE" w:rsidP="004000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2393A">
        <w:rPr>
          <w:rFonts w:ascii="Arial" w:hAnsi="Arial" w:cs="Arial"/>
          <w:b/>
          <w:bCs/>
          <w:sz w:val="24"/>
          <w:szCs w:val="24"/>
        </w:rPr>
        <w:t>IGUALDAD DE OPORTUNIDADES, DESIGUALDAD</w:t>
      </w:r>
      <w:r w:rsidR="0082393A" w:rsidRPr="0082393A">
        <w:rPr>
          <w:rFonts w:ascii="Arial" w:hAnsi="Arial" w:cs="Arial"/>
          <w:b/>
          <w:bCs/>
          <w:sz w:val="24"/>
          <w:szCs w:val="24"/>
        </w:rPr>
        <w:t xml:space="preserve"> SOCIAL Y POLITICAS PUBLICAS</w:t>
      </w:r>
    </w:p>
    <w:p w14:paraId="5F04EDB7" w14:textId="77777777" w:rsidR="0082393A" w:rsidRDefault="0082393A" w:rsidP="000075A7">
      <w:pPr>
        <w:jc w:val="both"/>
        <w:rPr>
          <w:rFonts w:ascii="Arial" w:hAnsi="Arial" w:cs="Arial"/>
          <w:sz w:val="24"/>
          <w:szCs w:val="24"/>
        </w:rPr>
      </w:pPr>
    </w:p>
    <w:p w14:paraId="0651434E" w14:textId="49EB1663" w:rsidR="0082393A" w:rsidRPr="00481704" w:rsidRDefault="000075A7" w:rsidP="000075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ACTIVIDADES:</w:t>
      </w:r>
    </w:p>
    <w:p w14:paraId="2712AC2B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1. ¿Qué es la “brecha social”?</w:t>
      </w:r>
    </w:p>
    <w:p w14:paraId="1746FE4B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2. ¿Qué son las “acciones positivas”?</w:t>
      </w:r>
    </w:p>
    <w:p w14:paraId="35FCE381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3. ¿Qué es la Asignación Universal por Hijo (AUH)?</w:t>
      </w:r>
    </w:p>
    <w:p w14:paraId="307E5FD0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4. ¿A quiénes está dirigido el Programa PROGRESAR?</w:t>
      </w:r>
    </w:p>
    <w:p w14:paraId="0576F2C9" w14:textId="65AD53C7" w:rsidR="0082393A" w:rsidRPr="00400019" w:rsidRDefault="00481704" w:rsidP="00400019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5. Según el artículo 2 de la Convención sobre los Derechos del Niño, ¿qué deben respetar los Estados?</w:t>
      </w:r>
    </w:p>
    <w:p w14:paraId="2CCE42C7" w14:textId="2A69D542" w:rsidR="00D95E8A" w:rsidRDefault="00D95E8A" w:rsidP="001D0180">
      <w:pPr>
        <w:spacing w:before="140" w:after="40" w:line="240" w:lineRule="auto"/>
        <w:jc w:val="both"/>
        <w:rPr>
          <w:rFonts w:ascii="Arial" w:hAnsi="Arial" w:cs="Arial"/>
        </w:rPr>
      </w:pPr>
    </w:p>
    <w:tbl>
      <w:tblPr>
        <w:tblW w:w="94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4448"/>
      </w:tblGrid>
      <w:tr w:rsidR="00400019" w:rsidRPr="00400019" w14:paraId="115901A0" w14:textId="77777777" w:rsidTr="00400019">
        <w:tc>
          <w:tcPr>
            <w:tcW w:w="9488" w:type="dxa"/>
            <w:gridSpan w:val="2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5B2C6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BC7F6F0" w14:textId="38270F44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b/>
                <w:bCs/>
                <w:color w:val="FFFFFF" w:themeColor="background1"/>
                <w:lang w:val="es-US"/>
              </w:rPr>
              <w:t>DESIGUALDAD SOCIAL → BRECHA SOCIAL</w:t>
            </w:r>
          </w:p>
        </w:tc>
      </w:tr>
      <w:tr w:rsidR="00400019" w:rsidRPr="00400019" w14:paraId="7B1CFAA0" w14:textId="77777777" w:rsidTr="00400019">
        <w:tc>
          <w:tcPr>
            <w:tcW w:w="9488" w:type="dxa"/>
            <w:gridSpan w:val="2"/>
            <w:tcBorders>
              <w:top w:val="single" w:sz="6" w:space="0" w:color="17A398"/>
              <w:left w:val="single" w:sz="6" w:space="0" w:color="17A398"/>
              <w:bottom w:val="single" w:sz="6" w:space="0" w:color="17A398"/>
              <w:right w:val="single" w:sz="6" w:space="0" w:color="17A398"/>
            </w:tcBorders>
            <w:shd w:val="clear" w:color="auto" w:fill="E4F6F4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E9FFF97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El Estado responde con políticas públicas (acciones positivas) para reducir la brecha social</w:t>
            </w:r>
          </w:p>
        </w:tc>
      </w:tr>
      <w:tr w:rsidR="00400019" w:rsidRPr="00400019" w14:paraId="472B00EC" w14:textId="77777777" w:rsidTr="00400019">
        <w:tc>
          <w:tcPr>
            <w:tcW w:w="5040" w:type="dxa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F1E6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1C7C3DD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AUH Asignación Universal por Hijo. Para hijos/as de familias con ingresos menores al salario mínimo, vital y móvil.</w:t>
            </w:r>
          </w:p>
        </w:tc>
        <w:tc>
          <w:tcPr>
            <w:tcW w:w="4448" w:type="dxa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F1E6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7B1B2F4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PROGRESAR Programa de Respaldo a Estudiantes de Argentina. Para jóvenes de 18 a 24 años que estudian.</w:t>
            </w:r>
          </w:p>
        </w:tc>
      </w:tr>
      <w:tr w:rsidR="00400019" w:rsidRPr="00400019" w14:paraId="45C17AFC" w14:textId="77777777" w:rsidTr="00400019">
        <w:trPr>
          <w:trHeight w:val="633"/>
        </w:trPr>
        <w:tc>
          <w:tcPr>
            <w:tcW w:w="9488" w:type="dxa"/>
            <w:gridSpan w:val="2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DF0E3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CF461C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Marco legal: Convención sobre los Derechos del Niño (Art. 2) — principio de no discriminación</w:t>
            </w:r>
          </w:p>
        </w:tc>
      </w:tr>
    </w:tbl>
    <w:p w14:paraId="003C69BF" w14:textId="32E5869C" w:rsidR="00D95E8A" w:rsidRDefault="00D95E8A" w:rsidP="00400019">
      <w:pPr>
        <w:jc w:val="both"/>
        <w:rPr>
          <w:rFonts w:ascii="Arial" w:hAnsi="Arial" w:cs="Arial"/>
        </w:rPr>
      </w:pPr>
    </w:p>
    <w:p w14:paraId="565BE6D4" w14:textId="79639965" w:rsidR="003E1880" w:rsidRPr="003E1880" w:rsidRDefault="00B31625" w:rsidP="003E18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3E1880" w:rsidRPr="003E1880">
        <w:rPr>
          <w:rFonts w:ascii="Arial" w:hAnsi="Arial" w:cs="Arial"/>
        </w:rPr>
        <w:t>Actividad dinámica — «La carrera de las oportunidades desiguales» (8 minutos)</w:t>
      </w:r>
    </w:p>
    <w:p w14:paraId="1EB32D4E" w14:textId="51284684" w:rsidR="003E1880" w:rsidRPr="003E1880" w:rsidRDefault="003E1880" w:rsidP="003E1880">
      <w:pPr>
        <w:jc w:val="both"/>
        <w:rPr>
          <w:rFonts w:ascii="Arial" w:hAnsi="Arial" w:cs="Arial"/>
        </w:rPr>
      </w:pPr>
      <w:r w:rsidRPr="003E1880">
        <w:rPr>
          <w:rFonts w:ascii="Arial" w:hAnsi="Arial" w:cs="Arial"/>
        </w:rPr>
        <w:lastRenderedPageBreak/>
        <w:t xml:space="preserve">Se forman </w:t>
      </w:r>
      <w:r w:rsidR="00723E32">
        <w:rPr>
          <w:rFonts w:ascii="Arial" w:hAnsi="Arial" w:cs="Arial"/>
        </w:rPr>
        <w:t>5</w:t>
      </w:r>
      <w:r w:rsidRPr="003E1880">
        <w:rPr>
          <w:rFonts w:ascii="Arial" w:hAnsi="Arial" w:cs="Arial"/>
        </w:rPr>
        <w:t xml:space="preserve"> equipos y se traza una línea de largada. Cada equipo recibe una consigna distinta para llegar a la meta (por ejemplo: caminar normalmente / saltar en un pie / caminar con los tobillos atados con una soga floja / empezar cinco pasos más atrás). Se realiza la carrera y luego se conversa en grupo:</w:t>
      </w:r>
    </w:p>
    <w:p w14:paraId="5ADDDE74" w14:textId="77777777" w:rsidR="003E1880" w:rsidRPr="003E1880" w:rsidRDefault="003E1880" w:rsidP="003E1880">
      <w:pPr>
        <w:jc w:val="both"/>
        <w:rPr>
          <w:rFonts w:ascii="Arial" w:hAnsi="Arial" w:cs="Arial"/>
        </w:rPr>
      </w:pPr>
      <w:r w:rsidRPr="003E1880">
        <w:rPr>
          <w:rFonts w:ascii="Arial" w:hAnsi="Arial" w:cs="Arial"/>
        </w:rPr>
        <w:t>•</w:t>
      </w:r>
      <w:r w:rsidRPr="003E1880">
        <w:rPr>
          <w:rFonts w:ascii="Arial" w:hAnsi="Arial" w:cs="Arial"/>
        </w:rPr>
        <w:tab/>
        <w:t>¿Todos partieron de las mismas condiciones?</w:t>
      </w:r>
    </w:p>
    <w:p w14:paraId="0CABEF2C" w14:textId="77777777" w:rsidR="003E1880" w:rsidRPr="003E1880" w:rsidRDefault="003E1880" w:rsidP="003E1880">
      <w:pPr>
        <w:jc w:val="both"/>
        <w:rPr>
          <w:rFonts w:ascii="Arial" w:hAnsi="Arial" w:cs="Arial"/>
        </w:rPr>
      </w:pPr>
      <w:r w:rsidRPr="003E1880">
        <w:rPr>
          <w:rFonts w:ascii="Arial" w:hAnsi="Arial" w:cs="Arial"/>
        </w:rPr>
        <w:t>•</w:t>
      </w:r>
      <w:r w:rsidRPr="003E1880">
        <w:rPr>
          <w:rFonts w:ascii="Arial" w:hAnsi="Arial" w:cs="Arial"/>
        </w:rPr>
        <w:tab/>
        <w:t>¿Se relaciona esto con lo que leímos sobre “desiguales puntos de partida”?</w:t>
      </w:r>
    </w:p>
    <w:p w14:paraId="3B031518" w14:textId="77777777" w:rsidR="003E1880" w:rsidRPr="003E1880" w:rsidRDefault="003E1880" w:rsidP="003E1880">
      <w:pPr>
        <w:jc w:val="both"/>
        <w:rPr>
          <w:rFonts w:ascii="Arial" w:hAnsi="Arial" w:cs="Arial"/>
        </w:rPr>
      </w:pPr>
      <w:r w:rsidRPr="003E1880">
        <w:rPr>
          <w:rFonts w:ascii="Arial" w:hAnsi="Arial" w:cs="Arial"/>
        </w:rPr>
        <w:t>•</w:t>
      </w:r>
      <w:r w:rsidRPr="003E1880">
        <w:rPr>
          <w:rFonts w:ascii="Arial" w:hAnsi="Arial" w:cs="Arial"/>
        </w:rPr>
        <w:tab/>
        <w:t>¿Qué podría hacer el Estado para que la carrera fuera más justa?</w:t>
      </w:r>
    </w:p>
    <w:p w14:paraId="62CCED48" w14:textId="004D16B5" w:rsidR="00B31625" w:rsidRPr="000B5CBE" w:rsidRDefault="003E1880" w:rsidP="003E1880">
      <w:pPr>
        <w:jc w:val="both"/>
        <w:rPr>
          <w:rFonts w:ascii="Arial" w:hAnsi="Arial" w:cs="Arial"/>
        </w:rPr>
      </w:pPr>
      <w:r w:rsidRPr="003E1880">
        <w:rPr>
          <w:rFonts w:ascii="Arial" w:hAnsi="Arial" w:cs="Arial"/>
        </w:rPr>
        <w:t>Cierre: se vincula la actividad con la idea de que el Estado, a través de políticas como la AUH o PROGRESAR, intenta “emparejar la largada” para que más personas puedan aprovechar las oportunidades disponibles.</w:t>
      </w:r>
    </w:p>
    <w:sectPr w:rsidR="00B31625" w:rsidRPr="000B5CB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EC1FD" w14:textId="77777777" w:rsidR="00415E8D" w:rsidRDefault="00415E8D" w:rsidP="00C77386">
      <w:pPr>
        <w:spacing w:after="0" w:line="240" w:lineRule="auto"/>
      </w:pPr>
      <w:r>
        <w:separator/>
      </w:r>
    </w:p>
  </w:endnote>
  <w:endnote w:type="continuationSeparator" w:id="0">
    <w:p w14:paraId="2D4FD53A" w14:textId="77777777" w:rsidR="00415E8D" w:rsidRDefault="00415E8D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ECA33" w14:textId="77777777" w:rsidR="00415E8D" w:rsidRDefault="00415E8D" w:rsidP="00C77386">
      <w:pPr>
        <w:spacing w:after="0" w:line="240" w:lineRule="auto"/>
      </w:pPr>
      <w:r>
        <w:separator/>
      </w:r>
    </w:p>
  </w:footnote>
  <w:footnote w:type="continuationSeparator" w:id="0">
    <w:p w14:paraId="41CEE225" w14:textId="77777777" w:rsidR="00415E8D" w:rsidRDefault="00415E8D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32CE9"/>
    <w:rsid w:val="0014092B"/>
    <w:rsid w:val="0015370F"/>
    <w:rsid w:val="001C049C"/>
    <w:rsid w:val="001D0180"/>
    <w:rsid w:val="001E19F7"/>
    <w:rsid w:val="00210521"/>
    <w:rsid w:val="002119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04CEF"/>
    <w:rsid w:val="00311B04"/>
    <w:rsid w:val="00326FB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E1880"/>
    <w:rsid w:val="003F3069"/>
    <w:rsid w:val="003F3844"/>
    <w:rsid w:val="00400019"/>
    <w:rsid w:val="00413E3E"/>
    <w:rsid w:val="00415E8D"/>
    <w:rsid w:val="004448AF"/>
    <w:rsid w:val="0044664E"/>
    <w:rsid w:val="00447C59"/>
    <w:rsid w:val="00450DE8"/>
    <w:rsid w:val="00453225"/>
    <w:rsid w:val="00481704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4C5C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7F00"/>
    <w:rsid w:val="006E33AF"/>
    <w:rsid w:val="006E4DB5"/>
    <w:rsid w:val="00723E32"/>
    <w:rsid w:val="00725CC6"/>
    <w:rsid w:val="007402D0"/>
    <w:rsid w:val="0074292E"/>
    <w:rsid w:val="00796276"/>
    <w:rsid w:val="007A3878"/>
    <w:rsid w:val="007B6F7E"/>
    <w:rsid w:val="007F5808"/>
    <w:rsid w:val="007F6A2B"/>
    <w:rsid w:val="00801E00"/>
    <w:rsid w:val="00803643"/>
    <w:rsid w:val="00806641"/>
    <w:rsid w:val="0082393A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A0422D"/>
    <w:rsid w:val="00A0648A"/>
    <w:rsid w:val="00A146FD"/>
    <w:rsid w:val="00A212F9"/>
    <w:rsid w:val="00A216AB"/>
    <w:rsid w:val="00A263FF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7E4B"/>
    <w:rsid w:val="00B31625"/>
    <w:rsid w:val="00B466CC"/>
    <w:rsid w:val="00B536D9"/>
    <w:rsid w:val="00B74F49"/>
    <w:rsid w:val="00B815B4"/>
    <w:rsid w:val="00BD2437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6A9E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72</cp:revision>
  <dcterms:created xsi:type="dcterms:W3CDTF">2026-05-24T14:09:00Z</dcterms:created>
  <dcterms:modified xsi:type="dcterms:W3CDTF">2026-09-20T13:42:00Z</dcterms:modified>
</cp:coreProperties>
</file>