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EA4B94">
        <w:rPr>
          <w:sz w:val="24"/>
          <w:szCs w:val="20"/>
        </w:rPr>
        <w:t xml:space="preserve">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EA4B94">
        <w:rPr>
          <w:sz w:val="24"/>
          <w:szCs w:val="20"/>
        </w:rPr>
        <w:t>12/08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EA4B94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B0484A">
        <w:rPr>
          <w:b/>
          <w:color w:val="000000" w:themeColor="text1"/>
          <w:sz w:val="32"/>
          <w:szCs w:val="24"/>
        </w:rPr>
        <w:t>39</w:t>
      </w:r>
      <w:bookmarkStart w:id="0" w:name="_GoBack"/>
      <w:bookmarkEnd w:id="0"/>
    </w:p>
    <w:p w:rsidR="00EA4B94" w:rsidRPr="00A041BD" w:rsidRDefault="00EA4B94" w:rsidP="00EA4B94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>Tema: repaso para la evaluación</w:t>
      </w:r>
    </w:p>
    <w:p w:rsidR="00EA4B94" w:rsidRDefault="00EA4B94" w:rsidP="00EA4B94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Inicio:</w:t>
      </w:r>
      <w:r>
        <w:rPr>
          <w:bCs/>
          <w:color w:val="000000" w:themeColor="text1"/>
          <w:sz w:val="24"/>
          <w:szCs w:val="24"/>
          <w:u w:val="single"/>
        </w:rPr>
        <w:t xml:space="preserve"> </w:t>
      </w:r>
      <w:r>
        <w:rPr>
          <w:bCs/>
          <w:color w:val="000000" w:themeColor="text1"/>
          <w:sz w:val="24"/>
          <w:szCs w:val="24"/>
        </w:rPr>
        <w:t>dictados de temas para el examen del segundo trimestre</w:t>
      </w:r>
    </w:p>
    <w:p w:rsidR="00EA4B94" w:rsidRPr="00EA4B94" w:rsidRDefault="00EA4B94" w:rsidP="00EA4B94">
      <w:pPr>
        <w:pStyle w:val="Prrafodelista"/>
        <w:numPr>
          <w:ilvl w:val="0"/>
          <w:numId w:val="21"/>
        </w:num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EA4B94">
        <w:rPr>
          <w:rFonts w:ascii="Arial" w:hAnsi="Arial" w:cs="Arial"/>
          <w:sz w:val="24"/>
          <w:szCs w:val="24"/>
        </w:rPr>
        <w:t xml:space="preserve">Identidad: la identidad cultural como construcción. Identificación pertenencias y agrupamientos. Diversidad en los anclajes </w:t>
      </w:r>
      <w:proofErr w:type="spellStart"/>
      <w:r w:rsidRPr="00EA4B94">
        <w:rPr>
          <w:rFonts w:ascii="Arial" w:hAnsi="Arial" w:cs="Arial"/>
          <w:sz w:val="24"/>
          <w:szCs w:val="24"/>
        </w:rPr>
        <w:t>identitarios</w:t>
      </w:r>
      <w:proofErr w:type="spellEnd"/>
      <w:r w:rsidRPr="00EA4B94">
        <w:rPr>
          <w:rFonts w:ascii="Arial" w:hAnsi="Arial" w:cs="Arial"/>
          <w:sz w:val="24"/>
          <w:szCs w:val="24"/>
        </w:rPr>
        <w:t xml:space="preserve">. </w:t>
      </w:r>
    </w:p>
    <w:p w:rsidR="00EA4B94" w:rsidRPr="00EA4B94" w:rsidRDefault="00EA4B94" w:rsidP="00EA4B94">
      <w:pPr>
        <w:pStyle w:val="Prrafodelista"/>
        <w:numPr>
          <w:ilvl w:val="0"/>
          <w:numId w:val="21"/>
        </w:num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EA4B94">
        <w:rPr>
          <w:rFonts w:ascii="Arial" w:hAnsi="Arial" w:cs="Arial"/>
          <w:sz w:val="24"/>
          <w:szCs w:val="24"/>
        </w:rPr>
        <w:t>Los medios y su impacto en la reconfiguración de las prácticas socioculturales. Historia de las teorías de la comunicación. Los lugares de la mediación.</w:t>
      </w:r>
      <w:r w:rsidRPr="00EA4B94">
        <w:rPr>
          <w:rFonts w:ascii="Arial" w:hAnsi="Arial" w:cs="Arial"/>
          <w:color w:val="00B050"/>
          <w:sz w:val="24"/>
          <w:szCs w:val="24"/>
        </w:rPr>
        <w:t xml:space="preserve"> </w:t>
      </w:r>
    </w:p>
    <w:p w:rsidR="00EA4B94" w:rsidRDefault="00EA4B94" w:rsidP="00EA4B94">
      <w:pPr>
        <w:pStyle w:val="Prrafodelista"/>
        <w:numPr>
          <w:ilvl w:val="0"/>
          <w:numId w:val="20"/>
        </w:numPr>
        <w:spacing w:after="0" w:line="240" w:lineRule="auto"/>
        <w:ind w:left="644"/>
        <w:jc w:val="both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Discriminación y racismo: estereotipos. Formas de racismo en América y en Argentina. Jóvenes y discriminación.  Consecuencias económicas, sociales y políticas.</w:t>
      </w:r>
      <w:r w:rsidRPr="00F67887">
        <w:rPr>
          <w:rFonts w:ascii="Arial" w:hAnsi="Arial" w:cs="Arial"/>
          <w:color w:val="00B050"/>
          <w:sz w:val="24"/>
          <w:szCs w:val="24"/>
        </w:rPr>
        <w:t xml:space="preserve"> </w:t>
      </w:r>
    </w:p>
    <w:p w:rsidR="00EA4B94" w:rsidRDefault="00EA4B94" w:rsidP="00EA4B94">
      <w:pPr>
        <w:pStyle w:val="Prrafodelista"/>
        <w:numPr>
          <w:ilvl w:val="0"/>
          <w:numId w:val="20"/>
        </w:numPr>
        <w:spacing w:after="0" w:line="240" w:lineRule="auto"/>
        <w:ind w:left="644"/>
        <w:jc w:val="both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Derechos culturales como derechos humanos. Luchas sociales de reconocimiento </w:t>
      </w:r>
      <w:proofErr w:type="spellStart"/>
      <w:r>
        <w:rPr>
          <w:rFonts w:ascii="Arial" w:hAnsi="Arial" w:cs="Arial"/>
          <w:sz w:val="24"/>
          <w:szCs w:val="24"/>
        </w:rPr>
        <w:t>identitario</w:t>
      </w:r>
      <w:proofErr w:type="spellEnd"/>
      <w:r>
        <w:rPr>
          <w:rFonts w:ascii="Arial" w:hAnsi="Arial" w:cs="Arial"/>
          <w:sz w:val="24"/>
          <w:szCs w:val="24"/>
        </w:rPr>
        <w:t xml:space="preserve"> y cultural.</w:t>
      </w:r>
      <w:r w:rsidRPr="00F67887">
        <w:rPr>
          <w:rFonts w:ascii="Arial" w:hAnsi="Arial" w:cs="Arial"/>
          <w:color w:val="00B050"/>
          <w:sz w:val="24"/>
          <w:szCs w:val="24"/>
        </w:rPr>
        <w:t xml:space="preserve"> </w:t>
      </w:r>
    </w:p>
    <w:p w:rsidR="00EA4B94" w:rsidRPr="00F67887" w:rsidRDefault="00EA4B94" w:rsidP="00EA4B94">
      <w:pPr>
        <w:divId w:val="286549484"/>
        <w:rPr>
          <w:bCs/>
          <w:color w:val="000000" w:themeColor="text1"/>
          <w:sz w:val="24"/>
          <w:szCs w:val="24"/>
        </w:rPr>
      </w:pPr>
    </w:p>
    <w:p w:rsidR="00EA4B94" w:rsidRPr="004C76DD" w:rsidRDefault="00EA4B94" w:rsidP="00EA4B94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Desarrollo: </w:t>
      </w:r>
      <w:r>
        <w:rPr>
          <w:bCs/>
          <w:color w:val="000000" w:themeColor="text1"/>
          <w:sz w:val="24"/>
          <w:szCs w:val="24"/>
        </w:rPr>
        <w:t xml:space="preserve">revisión y repaso de conceptos de las páginas 55 a 58 </w:t>
      </w:r>
    </w:p>
    <w:p w:rsidR="00EA4B94" w:rsidRDefault="00EA4B94" w:rsidP="00EA4B94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>
        <w:rPr>
          <w:sz w:val="24"/>
          <w:szCs w:val="24"/>
        </w:rPr>
        <w:t xml:space="preserve"> actividades de comprensión de texto</w:t>
      </w:r>
    </w:p>
    <w:p w:rsidR="00EA4B94" w:rsidRDefault="00EA4B94" w:rsidP="00EA4B94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Responde:</w:t>
      </w:r>
    </w:p>
    <w:p w:rsidR="00EA4B94" w:rsidRDefault="00EA4B94" w:rsidP="00EA4B94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se llama identidad?</w:t>
      </w:r>
    </w:p>
    <w:p w:rsidR="00EA4B94" w:rsidRDefault="00EA4B94" w:rsidP="00EA4B94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¿por  qué decimos que el hombre es un ser social?</w:t>
      </w:r>
    </w:p>
    <w:p w:rsidR="00EA4B94" w:rsidRDefault="00EA4B94" w:rsidP="00EA4B94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Responde verdadero o falso: </w:t>
      </w:r>
    </w:p>
    <w:p w:rsidR="00EA4B94" w:rsidRDefault="00EA4B94" w:rsidP="00EA4B94">
      <w:pPr>
        <w:pStyle w:val="Prrafodelista"/>
        <w:numPr>
          <w:ilvl w:val="1"/>
          <w:numId w:val="29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“La identidad no se va cambiando a lo largo del tiempo.”</w:t>
      </w:r>
    </w:p>
    <w:p w:rsidR="00EA4B94" w:rsidRDefault="00EA4B94" w:rsidP="00EA4B94">
      <w:pPr>
        <w:pStyle w:val="Prrafodelista"/>
        <w:numPr>
          <w:ilvl w:val="1"/>
          <w:numId w:val="29"/>
        </w:numPr>
        <w:spacing w:after="0"/>
        <w:divId w:val="286549484"/>
        <w:rPr>
          <w:sz w:val="24"/>
          <w:szCs w:val="24"/>
        </w:rPr>
      </w:pPr>
      <w:proofErr w:type="spellStart"/>
      <w:r>
        <w:rPr>
          <w:sz w:val="24"/>
          <w:szCs w:val="24"/>
        </w:rPr>
        <w:t>Zygmunt</w:t>
      </w:r>
      <w:proofErr w:type="spellEnd"/>
      <w:r>
        <w:rPr>
          <w:sz w:val="24"/>
          <w:szCs w:val="24"/>
        </w:rPr>
        <w:t xml:space="preserve"> –barman manifestó: “la identidad suele ser algo tan improvisto indeleble…”</w:t>
      </w:r>
    </w:p>
    <w:p w:rsidR="00EA4B94" w:rsidRPr="001309FE" w:rsidRDefault="00EA4B94" w:rsidP="00EA4B94">
      <w:pPr>
        <w:pStyle w:val="Prrafodelista"/>
        <w:numPr>
          <w:ilvl w:val="1"/>
          <w:numId w:val="29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Peter Berger: “Las sociedades tienen historias en cuyo curso emergen identidades especificas…”</w:t>
      </w:r>
    </w:p>
    <w:p w:rsidR="00EA4B94" w:rsidRDefault="00EA4B94" w:rsidP="00EA4B94">
      <w:pPr>
        <w:spacing w:after="0"/>
        <w:divId w:val="286549484"/>
        <w:rPr>
          <w:b/>
          <w:color w:val="000000" w:themeColor="text1"/>
          <w:sz w:val="32"/>
          <w:szCs w:val="24"/>
        </w:rPr>
      </w:pPr>
    </w:p>
    <w:p w:rsidR="00031701" w:rsidRPr="00A041BD" w:rsidRDefault="002E5D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8B7859">
        <w:rPr>
          <w:b/>
          <w:color w:val="000000" w:themeColor="text1"/>
          <w:sz w:val="32"/>
          <w:szCs w:val="24"/>
        </w:rPr>
        <w:t>“</w:t>
      </w:r>
      <w:r w:rsidR="00B46121">
        <w:rPr>
          <w:b/>
          <w:color w:val="000000" w:themeColor="text1"/>
          <w:sz w:val="32"/>
          <w:szCs w:val="24"/>
        </w:rPr>
        <w:t>Los derechos culturales como derechos humanos”</w:t>
      </w:r>
    </w:p>
    <w:p w:rsidR="00A041BD" w:rsidRPr="004C76DD" w:rsidRDefault="00A041BD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8B4B5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B46121">
        <w:rPr>
          <w:bCs/>
          <w:color w:val="000000" w:themeColor="text1"/>
          <w:sz w:val="24"/>
          <w:szCs w:val="24"/>
        </w:rPr>
        <w:t>lectura de las páginas 83 a 84</w:t>
      </w:r>
    </w:p>
    <w:p w:rsidR="008B7859" w:rsidRDefault="00A041BD" w:rsidP="002E5DCF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proofErr w:type="gramStart"/>
      <w:r w:rsidRPr="008020AF">
        <w:rPr>
          <w:sz w:val="24"/>
          <w:szCs w:val="24"/>
          <w:highlight w:val="yellow"/>
        </w:rPr>
        <w:t>:</w:t>
      </w:r>
      <w:r w:rsidR="00031701">
        <w:rPr>
          <w:sz w:val="24"/>
          <w:szCs w:val="24"/>
        </w:rPr>
        <w:t>.</w:t>
      </w:r>
      <w:proofErr w:type="gramEnd"/>
      <w:r w:rsidR="00031701">
        <w:rPr>
          <w:sz w:val="24"/>
          <w:szCs w:val="24"/>
        </w:rPr>
        <w:t xml:space="preserve"> </w:t>
      </w:r>
      <w:r w:rsidR="008B7859">
        <w:rPr>
          <w:sz w:val="24"/>
          <w:szCs w:val="24"/>
        </w:rPr>
        <w:t>actividades de comprensión de texto:</w:t>
      </w:r>
    </w:p>
    <w:p w:rsidR="008B7859" w:rsidRDefault="008B7859" w:rsidP="002E5DCF">
      <w:pPr>
        <w:spacing w:after="0"/>
        <w:divId w:val="286549484"/>
        <w:rPr>
          <w:sz w:val="24"/>
          <w:szCs w:val="24"/>
        </w:rPr>
      </w:pPr>
    </w:p>
    <w:p w:rsidR="00251484" w:rsidRDefault="00B46121" w:rsidP="0025148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¿en qué año se formuló los derechos humanos?</w:t>
      </w:r>
    </w:p>
    <w:p w:rsidR="00B46121" w:rsidRDefault="00B46121" w:rsidP="0025148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establece el art. 15 del Pacto Internacional?</w:t>
      </w:r>
    </w:p>
    <w:p w:rsidR="00B46121" w:rsidRDefault="00B46121" w:rsidP="0025148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lastRenderedPageBreak/>
        <w:t>¿Cuál fue la actualización que se hizo en 2007 en Suiza?</w:t>
      </w:r>
    </w:p>
    <w:p w:rsidR="00B46121" w:rsidRDefault="00B46121" w:rsidP="00251484">
      <w:pPr>
        <w:pStyle w:val="Prrafodelista"/>
        <w:numPr>
          <w:ilvl w:val="0"/>
          <w:numId w:val="2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hacen referencia esos derechos culturales?</w:t>
      </w:r>
    </w:p>
    <w:p w:rsidR="00251484" w:rsidRDefault="00251484" w:rsidP="00251484">
      <w:pPr>
        <w:pStyle w:val="Prrafodelista"/>
        <w:spacing w:after="0"/>
        <w:ind w:left="644"/>
        <w:divId w:val="286549484"/>
        <w:rPr>
          <w:sz w:val="24"/>
          <w:szCs w:val="24"/>
        </w:rPr>
      </w:pPr>
    </w:p>
    <w:p w:rsidR="00EA4B94" w:rsidRPr="00A041BD" w:rsidRDefault="00EA4B94" w:rsidP="00EA4B94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“Las luchas sociales de reconocimiento </w:t>
      </w:r>
      <w:proofErr w:type="spellStart"/>
      <w:r>
        <w:rPr>
          <w:b/>
          <w:color w:val="000000" w:themeColor="text1"/>
          <w:sz w:val="32"/>
          <w:szCs w:val="24"/>
        </w:rPr>
        <w:t>identitario</w:t>
      </w:r>
      <w:proofErr w:type="spellEnd"/>
      <w:r>
        <w:rPr>
          <w:b/>
          <w:color w:val="000000" w:themeColor="text1"/>
          <w:sz w:val="32"/>
          <w:szCs w:val="24"/>
        </w:rPr>
        <w:t xml:space="preserve"> y/o cultural”</w:t>
      </w:r>
    </w:p>
    <w:p w:rsidR="00EA4B94" w:rsidRPr="004C76DD" w:rsidRDefault="00EA4B94" w:rsidP="00EA4B94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Desarrollo: </w:t>
      </w:r>
      <w:r>
        <w:rPr>
          <w:bCs/>
          <w:color w:val="000000" w:themeColor="text1"/>
          <w:sz w:val="24"/>
          <w:szCs w:val="24"/>
        </w:rPr>
        <w:t>lectura de las páginas 84 a 88</w:t>
      </w:r>
    </w:p>
    <w:p w:rsidR="00EA4B94" w:rsidRDefault="00EA4B94" w:rsidP="00EA4B94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>
        <w:rPr>
          <w:sz w:val="24"/>
          <w:szCs w:val="24"/>
        </w:rPr>
        <w:t xml:space="preserve"> actividades de comprensión de texto:</w:t>
      </w:r>
    </w:p>
    <w:p w:rsidR="00EA4B94" w:rsidRDefault="00EA4B94" w:rsidP="00EA4B94">
      <w:pPr>
        <w:spacing w:after="0"/>
        <w:divId w:val="286549484"/>
        <w:rPr>
          <w:sz w:val="24"/>
          <w:szCs w:val="24"/>
        </w:rPr>
      </w:pPr>
    </w:p>
    <w:p w:rsidR="00EA4B94" w:rsidRDefault="00EA4B94" w:rsidP="00EA4B94">
      <w:pPr>
        <w:pStyle w:val="Prrafodelista"/>
        <w:numPr>
          <w:ilvl w:val="0"/>
          <w:numId w:val="27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Leer y elaborar una síntesis del título de las páginas 84 y 85.</w:t>
      </w:r>
    </w:p>
    <w:p w:rsidR="00EA4B94" w:rsidRDefault="00EA4B94" w:rsidP="00EA4B94">
      <w:pPr>
        <w:pStyle w:val="Prrafodelista"/>
        <w:numPr>
          <w:ilvl w:val="0"/>
          <w:numId w:val="27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¿Cuál es el concepto de “lucha” que se plantea en el texto?</w:t>
      </w:r>
    </w:p>
    <w:p w:rsidR="00EA4B94" w:rsidRDefault="00EA4B94" w:rsidP="00EA4B94">
      <w:pPr>
        <w:pStyle w:val="Prrafodelista"/>
        <w:numPr>
          <w:ilvl w:val="0"/>
          <w:numId w:val="27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Resolver las consignas de la página 86</w:t>
      </w:r>
    </w:p>
    <w:p w:rsidR="00EA4B94" w:rsidRDefault="00EA4B94" w:rsidP="00EA4B94">
      <w:pPr>
        <w:pStyle w:val="Prrafodelista"/>
        <w:numPr>
          <w:ilvl w:val="0"/>
          <w:numId w:val="27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Elaborar un mapa conceptual de los temas abordados en la unidad 3.</w:t>
      </w:r>
    </w:p>
    <w:p w:rsidR="00EA4B94" w:rsidRPr="00251484" w:rsidRDefault="00EA4B94" w:rsidP="00EA4B94">
      <w:pPr>
        <w:pStyle w:val="Prrafodelista"/>
        <w:spacing w:after="0"/>
        <w:ind w:left="644"/>
        <w:divId w:val="286549484"/>
        <w:rPr>
          <w:sz w:val="24"/>
          <w:szCs w:val="24"/>
        </w:rPr>
      </w:pPr>
    </w:p>
    <w:p w:rsidR="00EA4B94" w:rsidRPr="00251484" w:rsidRDefault="00EA4B94" w:rsidP="00251484">
      <w:pPr>
        <w:pStyle w:val="Prrafodelista"/>
        <w:spacing w:after="0"/>
        <w:ind w:left="644"/>
        <w:divId w:val="286549484"/>
        <w:rPr>
          <w:sz w:val="24"/>
          <w:szCs w:val="24"/>
        </w:rPr>
      </w:pPr>
    </w:p>
    <w:sectPr w:rsidR="00EA4B94" w:rsidRPr="0025148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0ED" w:rsidRDefault="007410ED" w:rsidP="003C0D6D">
      <w:pPr>
        <w:spacing w:after="0" w:line="240" w:lineRule="auto"/>
      </w:pPr>
      <w:r>
        <w:separator/>
      </w:r>
    </w:p>
  </w:endnote>
  <w:endnote w:type="continuationSeparator" w:id="0">
    <w:p w:rsidR="007410ED" w:rsidRDefault="007410ED" w:rsidP="003C0D6D">
      <w:pPr>
        <w:spacing w:after="0" w:line="240" w:lineRule="auto"/>
      </w:pPr>
      <w:r>
        <w:continuationSeparator/>
      </w:r>
    </w:p>
  </w:endnote>
  <w:endnote w:type="continuationNotice" w:id="1">
    <w:p w:rsidR="007410ED" w:rsidRDefault="007410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0ED" w:rsidRDefault="007410ED" w:rsidP="003C0D6D">
      <w:pPr>
        <w:spacing w:after="0" w:line="240" w:lineRule="auto"/>
      </w:pPr>
      <w:r>
        <w:separator/>
      </w:r>
    </w:p>
  </w:footnote>
  <w:footnote w:type="continuationSeparator" w:id="0">
    <w:p w:rsidR="007410ED" w:rsidRDefault="007410ED" w:rsidP="003C0D6D">
      <w:pPr>
        <w:spacing w:after="0" w:line="240" w:lineRule="auto"/>
      </w:pPr>
      <w:r>
        <w:continuationSeparator/>
      </w:r>
    </w:p>
  </w:footnote>
  <w:footnote w:type="continuationNotice" w:id="1">
    <w:p w:rsidR="007410ED" w:rsidRDefault="007410E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20324501" wp14:editId="438DF96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8A4B2B0" wp14:editId="2167E97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8" type="#_x0000_t75" style="width:9pt;height:9pt" o:bullet="t">
        <v:imagedata r:id="rId1" o:title="BD14794_"/>
      </v:shape>
    </w:pict>
  </w:numPicBullet>
  <w:numPicBullet w:numPicBulletId="1">
    <w:pict>
      <v:shape id="_x0000_i1109" type="#_x0000_t75" style="width:9.7pt;height:9.7pt" o:bullet="t">
        <v:imagedata r:id="rId2" o:title="BD21298_"/>
      </v:shape>
    </w:pict>
  </w:numPicBullet>
  <w:numPicBullet w:numPicBulletId="2">
    <w:pict>
      <v:shape id="_x0000_i1110" type="#_x0000_t75" style="width:11.75pt;height:11.75pt" o:bullet="t">
        <v:imagedata r:id="rId3" o:title="msoEC08"/>
      </v:shape>
    </w:pict>
  </w:numPicBullet>
  <w:numPicBullet w:numPicBulletId="3">
    <w:pict>
      <v:shape id="_x0000_i1111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2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2"/>
  </w:num>
  <w:num w:numId="3">
    <w:abstractNumId w:val="7"/>
  </w:num>
  <w:num w:numId="4">
    <w:abstractNumId w:val="10"/>
  </w:num>
  <w:num w:numId="5">
    <w:abstractNumId w:val="4"/>
  </w:num>
  <w:num w:numId="6">
    <w:abstractNumId w:val="17"/>
  </w:num>
  <w:num w:numId="7">
    <w:abstractNumId w:val="16"/>
  </w:num>
  <w:num w:numId="8">
    <w:abstractNumId w:val="9"/>
  </w:num>
  <w:num w:numId="9">
    <w:abstractNumId w:val="1"/>
  </w:num>
  <w:num w:numId="10">
    <w:abstractNumId w:val="11"/>
  </w:num>
  <w:num w:numId="11">
    <w:abstractNumId w:val="23"/>
  </w:num>
  <w:num w:numId="12">
    <w:abstractNumId w:val="15"/>
  </w:num>
  <w:num w:numId="13">
    <w:abstractNumId w:val="22"/>
  </w:num>
  <w:num w:numId="14">
    <w:abstractNumId w:val="24"/>
  </w:num>
  <w:num w:numId="15">
    <w:abstractNumId w:val="3"/>
  </w:num>
  <w:num w:numId="16">
    <w:abstractNumId w:val="27"/>
  </w:num>
  <w:num w:numId="17">
    <w:abstractNumId w:val="6"/>
  </w:num>
  <w:num w:numId="18">
    <w:abstractNumId w:val="20"/>
  </w:num>
  <w:num w:numId="19">
    <w:abstractNumId w:val="5"/>
  </w:num>
  <w:num w:numId="20">
    <w:abstractNumId w:val="18"/>
  </w:num>
  <w:num w:numId="21">
    <w:abstractNumId w:val="2"/>
  </w:num>
  <w:num w:numId="22">
    <w:abstractNumId w:val="19"/>
  </w:num>
  <w:num w:numId="23">
    <w:abstractNumId w:val="28"/>
  </w:num>
  <w:num w:numId="24">
    <w:abstractNumId w:val="26"/>
  </w:num>
  <w:num w:numId="25">
    <w:abstractNumId w:val="8"/>
  </w:num>
  <w:num w:numId="26">
    <w:abstractNumId w:val="21"/>
  </w:num>
  <w:num w:numId="27">
    <w:abstractNumId w:val="25"/>
  </w:num>
  <w:num w:numId="28">
    <w:abstractNumId w:val="0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0ED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84A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B94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9FEAB-AEBE-4060-8245-91EE21C8F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2026-08-10T01:04:00Z</dcterms:created>
  <dcterms:modified xsi:type="dcterms:W3CDTF">2026-08-10T01:05:00Z</dcterms:modified>
</cp:coreProperties>
</file>