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240802">
        <w:rPr>
          <w:sz w:val="24"/>
          <w:szCs w:val="20"/>
        </w:rPr>
        <w:t>10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7027D8">
        <w:rPr>
          <w:b/>
          <w:color w:val="000000" w:themeColor="text1"/>
          <w:sz w:val="32"/>
          <w:szCs w:val="24"/>
        </w:rPr>
        <w:t>57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240802">
        <w:rPr>
          <w:bCs/>
          <w:color w:val="000000" w:themeColor="text1"/>
          <w:sz w:val="24"/>
          <w:szCs w:val="24"/>
        </w:rPr>
        <w:t>dictados de temas para el examen del segundo trimestre</w:t>
      </w:r>
    </w:p>
    <w:p w:rsidR="006E3760" w:rsidRPr="00F67887" w:rsidRDefault="006E3760" w:rsidP="006E3760">
      <w:pPr>
        <w:pStyle w:val="Prrafodelista"/>
        <w:numPr>
          <w:ilvl w:val="0"/>
          <w:numId w:val="20"/>
        </w:numPr>
        <w:spacing w:after="0" w:line="240" w:lineRule="auto"/>
        <w:ind w:left="644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Identidad: la identidad cultural como construcción. Identificación pertenencias y agrupamientos. Diversidad en los anclajes </w:t>
      </w:r>
      <w:proofErr w:type="spellStart"/>
      <w:r>
        <w:rPr>
          <w:rFonts w:ascii="Arial" w:hAnsi="Arial" w:cs="Arial"/>
          <w:sz w:val="24"/>
          <w:szCs w:val="24"/>
        </w:rPr>
        <w:t>identitarios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F67887">
        <w:rPr>
          <w:rFonts w:ascii="Arial" w:hAnsi="Arial" w:cs="Arial"/>
          <w:color w:val="00B050"/>
          <w:sz w:val="24"/>
          <w:szCs w:val="24"/>
        </w:rPr>
        <w:t>(PAG. 55 A 68)</w:t>
      </w:r>
    </w:p>
    <w:p w:rsidR="006E3760" w:rsidRDefault="006E3760" w:rsidP="006E3760">
      <w:pPr>
        <w:pStyle w:val="Prrafodelista"/>
        <w:numPr>
          <w:ilvl w:val="0"/>
          <w:numId w:val="21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medios y su impacto en la reconfiguración de las prácticas socioculturales. Historia de las teorías de la comunicación. Los lugares de la mediación.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</w:t>
      </w:r>
      <w:r>
        <w:rPr>
          <w:rFonts w:ascii="Arial" w:hAnsi="Arial" w:cs="Arial"/>
          <w:color w:val="00B050"/>
          <w:sz w:val="24"/>
          <w:szCs w:val="24"/>
        </w:rPr>
        <w:t>(PAG. 98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A</w:t>
      </w:r>
      <w:r>
        <w:rPr>
          <w:rFonts w:ascii="Arial" w:hAnsi="Arial" w:cs="Arial"/>
          <w:color w:val="00B050"/>
          <w:sz w:val="24"/>
          <w:szCs w:val="24"/>
        </w:rPr>
        <w:t xml:space="preserve"> 106</w:t>
      </w:r>
      <w:r w:rsidRPr="00F67887">
        <w:rPr>
          <w:rFonts w:ascii="Arial" w:hAnsi="Arial" w:cs="Arial"/>
          <w:color w:val="00B050"/>
          <w:sz w:val="24"/>
          <w:szCs w:val="24"/>
        </w:rPr>
        <w:t>)</w:t>
      </w:r>
    </w:p>
    <w:p w:rsidR="006E3760" w:rsidRDefault="006E3760" w:rsidP="006E3760">
      <w:pPr>
        <w:pStyle w:val="Prrafodelista"/>
        <w:numPr>
          <w:ilvl w:val="0"/>
          <w:numId w:val="20"/>
        </w:numPr>
        <w:spacing w:after="0" w:line="240" w:lineRule="auto"/>
        <w:ind w:left="644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Discriminación y racismo: estereotipos. Formas de racismo en América y en Argentina. Jóvenes y discriminación.  Consecuencias económicas, sociales y políticas.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</w:t>
      </w:r>
      <w:r>
        <w:rPr>
          <w:rFonts w:ascii="Arial" w:hAnsi="Arial" w:cs="Arial"/>
          <w:color w:val="00B050"/>
          <w:sz w:val="24"/>
          <w:szCs w:val="24"/>
        </w:rPr>
        <w:t>(PAG. 75 A 82</w:t>
      </w:r>
      <w:r w:rsidRPr="00F67887">
        <w:rPr>
          <w:rFonts w:ascii="Arial" w:hAnsi="Arial" w:cs="Arial"/>
          <w:color w:val="00B050"/>
          <w:sz w:val="24"/>
          <w:szCs w:val="24"/>
        </w:rPr>
        <w:t>)</w:t>
      </w:r>
    </w:p>
    <w:p w:rsidR="006E3760" w:rsidRDefault="006E3760" w:rsidP="006E3760">
      <w:pPr>
        <w:pStyle w:val="Prrafodelista"/>
        <w:numPr>
          <w:ilvl w:val="0"/>
          <w:numId w:val="20"/>
        </w:numPr>
        <w:spacing w:after="0" w:line="240" w:lineRule="auto"/>
        <w:ind w:left="644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Derechos culturales como derechos humanos. Luchas sociales de reconocimiento </w:t>
      </w:r>
      <w:proofErr w:type="spellStart"/>
      <w:r>
        <w:rPr>
          <w:rFonts w:ascii="Arial" w:hAnsi="Arial" w:cs="Arial"/>
          <w:sz w:val="24"/>
          <w:szCs w:val="24"/>
        </w:rPr>
        <w:t>identitario</w:t>
      </w:r>
      <w:proofErr w:type="spellEnd"/>
      <w:r>
        <w:rPr>
          <w:rFonts w:ascii="Arial" w:hAnsi="Arial" w:cs="Arial"/>
          <w:sz w:val="24"/>
          <w:szCs w:val="24"/>
        </w:rPr>
        <w:t xml:space="preserve"> y cultural.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</w:t>
      </w:r>
      <w:r>
        <w:rPr>
          <w:rFonts w:ascii="Arial" w:hAnsi="Arial" w:cs="Arial"/>
          <w:color w:val="00B050"/>
          <w:sz w:val="24"/>
          <w:szCs w:val="24"/>
        </w:rPr>
        <w:t>(PAG. 83 A 8</w:t>
      </w:r>
      <w:r w:rsidRPr="00F67887">
        <w:rPr>
          <w:rFonts w:ascii="Arial" w:hAnsi="Arial" w:cs="Arial"/>
          <w:color w:val="00B050"/>
          <w:sz w:val="24"/>
          <w:szCs w:val="24"/>
        </w:rPr>
        <w:t>8)</w:t>
      </w:r>
    </w:p>
    <w:p w:rsidR="00240802" w:rsidRPr="00F67887" w:rsidRDefault="00240802" w:rsidP="00A041BD">
      <w:pPr>
        <w:divId w:val="286549484"/>
        <w:rPr>
          <w:bCs/>
          <w:color w:val="000000" w:themeColor="text1"/>
          <w:sz w:val="24"/>
          <w:szCs w:val="24"/>
        </w:rPr>
      </w:pP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>revisión y repaso de conceptos de las páginas 55 a 58</w:t>
      </w:r>
      <w:r w:rsidR="006E3760">
        <w:rPr>
          <w:bCs/>
          <w:color w:val="000000" w:themeColor="text1"/>
          <w:sz w:val="24"/>
          <w:szCs w:val="24"/>
        </w:rPr>
        <w:t xml:space="preserve"> 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</w:t>
      </w:r>
    </w:p>
    <w:p w:rsidR="008F69C3" w:rsidRDefault="008F69C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1309FE" w:rsidRDefault="001309FE" w:rsidP="001309FE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1309FE" w:rsidRDefault="001309FE" w:rsidP="001309FE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 qué decimos que el hombre es un ser social?</w:t>
      </w:r>
    </w:p>
    <w:p w:rsidR="001309FE" w:rsidRDefault="001309FE" w:rsidP="001309FE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Responde verdadero o falso: </w:t>
      </w:r>
    </w:p>
    <w:p w:rsidR="001309FE" w:rsidRDefault="001309FE" w:rsidP="001309FE">
      <w:pPr>
        <w:pStyle w:val="Prrafodelista"/>
        <w:numPr>
          <w:ilvl w:val="1"/>
          <w:numId w:val="31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“La identidad no se va cambiando a lo largo del tiempo.”</w:t>
      </w:r>
    </w:p>
    <w:p w:rsidR="001309FE" w:rsidRDefault="001309FE" w:rsidP="001309FE">
      <w:pPr>
        <w:pStyle w:val="Prrafodelista"/>
        <w:numPr>
          <w:ilvl w:val="1"/>
          <w:numId w:val="31"/>
        </w:numPr>
        <w:spacing w:after="0"/>
        <w:divId w:val="286549484"/>
        <w:rPr>
          <w:sz w:val="24"/>
          <w:szCs w:val="24"/>
        </w:rPr>
      </w:pPr>
      <w:proofErr w:type="spellStart"/>
      <w:r>
        <w:rPr>
          <w:sz w:val="24"/>
          <w:szCs w:val="24"/>
        </w:rPr>
        <w:t>Zygmunt</w:t>
      </w:r>
      <w:proofErr w:type="spellEnd"/>
      <w:r>
        <w:rPr>
          <w:sz w:val="24"/>
          <w:szCs w:val="24"/>
        </w:rPr>
        <w:t xml:space="preserve"> –barman manifestó: “la identidad suele ser algo tan improvisto indeleble…”</w:t>
      </w:r>
    </w:p>
    <w:p w:rsidR="001309FE" w:rsidRPr="001309FE" w:rsidRDefault="001309FE" w:rsidP="001309FE">
      <w:pPr>
        <w:pStyle w:val="Prrafodelista"/>
        <w:numPr>
          <w:ilvl w:val="1"/>
          <w:numId w:val="31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Peter Berger: “Las sociedades tienen historias en cuyo curso emergen identidades especificas…”</w:t>
      </w:r>
      <w:bookmarkStart w:id="0" w:name="_GoBack"/>
      <w:bookmarkEnd w:id="0"/>
    </w:p>
    <w:sectPr w:rsidR="001309FE" w:rsidRPr="001309FE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0F" w:rsidRDefault="00BA7F0F" w:rsidP="003C0D6D">
      <w:pPr>
        <w:spacing w:after="0" w:line="240" w:lineRule="auto"/>
      </w:pPr>
      <w:r>
        <w:separator/>
      </w:r>
    </w:p>
  </w:endnote>
  <w:endnote w:type="continuationSeparator" w:id="0">
    <w:p w:rsidR="00BA7F0F" w:rsidRDefault="00BA7F0F" w:rsidP="003C0D6D">
      <w:pPr>
        <w:spacing w:after="0" w:line="240" w:lineRule="auto"/>
      </w:pPr>
      <w:r>
        <w:continuationSeparator/>
      </w:r>
    </w:p>
  </w:endnote>
  <w:endnote w:type="continuationNotice" w:id="1">
    <w:p w:rsidR="00BA7F0F" w:rsidRDefault="00BA7F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0F" w:rsidRDefault="00BA7F0F" w:rsidP="003C0D6D">
      <w:pPr>
        <w:spacing w:after="0" w:line="240" w:lineRule="auto"/>
      </w:pPr>
      <w:r>
        <w:separator/>
      </w:r>
    </w:p>
  </w:footnote>
  <w:footnote w:type="continuationSeparator" w:id="0">
    <w:p w:rsidR="00BA7F0F" w:rsidRDefault="00BA7F0F" w:rsidP="003C0D6D">
      <w:pPr>
        <w:spacing w:after="0" w:line="240" w:lineRule="auto"/>
      </w:pPr>
      <w:r>
        <w:continuationSeparator/>
      </w:r>
    </w:p>
  </w:footnote>
  <w:footnote w:type="continuationNotice" w:id="1">
    <w:p w:rsidR="00BA7F0F" w:rsidRDefault="00BA7F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84AA97C" wp14:editId="2354D6A9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8BBD85B" wp14:editId="2967CF0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9pt;height:9pt" o:bullet="t">
        <v:imagedata r:id="rId1" o:title="BD14794_"/>
      </v:shape>
    </w:pict>
  </w:numPicBullet>
  <w:numPicBullet w:numPicBulletId="1">
    <w:pict>
      <v:shape id="_x0000_i1131" type="#_x0000_t75" style="width:9.7pt;height:9.7pt" o:bullet="t">
        <v:imagedata r:id="rId2" o:title="BD21298_"/>
      </v:shape>
    </w:pict>
  </w:numPicBullet>
  <w:numPicBullet w:numPicBulletId="2">
    <w:pict>
      <v:shape id="_x0000_i1132" type="#_x0000_t75" style="width:11.75pt;height:11.75pt" o:bullet="t">
        <v:imagedata r:id="rId3" o:title="msoEC08"/>
      </v:shape>
    </w:pict>
  </w:numPicBullet>
  <w:numPicBullet w:numPicBulletId="3">
    <w:pict>
      <v:shape id="_x0000_i1133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2"/>
  </w:num>
  <w:num w:numId="5">
    <w:abstractNumId w:val="4"/>
  </w:num>
  <w:num w:numId="6">
    <w:abstractNumId w:val="19"/>
  </w:num>
  <w:num w:numId="7">
    <w:abstractNumId w:val="18"/>
  </w:num>
  <w:num w:numId="8">
    <w:abstractNumId w:val="11"/>
  </w:num>
  <w:num w:numId="9">
    <w:abstractNumId w:val="1"/>
  </w:num>
  <w:num w:numId="10">
    <w:abstractNumId w:val="13"/>
  </w:num>
  <w:num w:numId="11">
    <w:abstractNumId w:val="25"/>
  </w:num>
  <w:num w:numId="12">
    <w:abstractNumId w:val="17"/>
  </w:num>
  <w:num w:numId="13">
    <w:abstractNumId w:val="24"/>
  </w:num>
  <w:num w:numId="14">
    <w:abstractNumId w:val="26"/>
  </w:num>
  <w:num w:numId="15">
    <w:abstractNumId w:val="3"/>
  </w:num>
  <w:num w:numId="16">
    <w:abstractNumId w:val="29"/>
  </w:num>
  <w:num w:numId="17">
    <w:abstractNumId w:val="7"/>
  </w:num>
  <w:num w:numId="18">
    <w:abstractNumId w:val="22"/>
  </w:num>
  <w:num w:numId="19">
    <w:abstractNumId w:val="6"/>
  </w:num>
  <w:num w:numId="20">
    <w:abstractNumId w:val="20"/>
  </w:num>
  <w:num w:numId="21">
    <w:abstractNumId w:val="2"/>
  </w:num>
  <w:num w:numId="22">
    <w:abstractNumId w:val="21"/>
  </w:num>
  <w:num w:numId="23">
    <w:abstractNumId w:val="30"/>
  </w:num>
  <w:num w:numId="24">
    <w:abstractNumId w:val="28"/>
  </w:num>
  <w:num w:numId="25">
    <w:abstractNumId w:val="10"/>
  </w:num>
  <w:num w:numId="26">
    <w:abstractNumId w:val="23"/>
  </w:num>
  <w:num w:numId="27">
    <w:abstractNumId w:val="27"/>
  </w:num>
  <w:num w:numId="28">
    <w:abstractNumId w:val="0"/>
  </w:num>
  <w:num w:numId="29">
    <w:abstractNumId w:val="8"/>
  </w:num>
  <w:num w:numId="30">
    <w:abstractNumId w:val="5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78DB1-4710-4E21-AFCA-F76038F7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2026-08-09T16:14:00Z</dcterms:created>
  <dcterms:modified xsi:type="dcterms:W3CDTF">2026-08-09T16:14:00Z</dcterms:modified>
</cp:coreProperties>
</file>