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E449D">
        <w:rPr>
          <w:sz w:val="24"/>
          <w:szCs w:val="20"/>
        </w:rPr>
        <w:t>5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D06D7">
        <w:rPr>
          <w:sz w:val="24"/>
          <w:szCs w:val="20"/>
        </w:rPr>
        <w:t>: 20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E909DA" w:rsidRPr="00E909DA" w:rsidRDefault="00E909DA" w:rsidP="00E909DA">
      <w:pPr>
        <w:spacing w:after="0"/>
        <w:jc w:val="center"/>
        <w:divId w:val="286549484"/>
        <w:rPr>
          <w:b/>
          <w:color w:val="FF0000"/>
          <w:sz w:val="24"/>
          <w:szCs w:val="20"/>
          <w:u w:val="single"/>
        </w:rPr>
      </w:pPr>
      <w:r w:rsidRPr="00E909DA">
        <w:rPr>
          <w:b/>
          <w:color w:val="FF0000"/>
          <w:sz w:val="24"/>
          <w:szCs w:val="20"/>
          <w:u w:val="single"/>
        </w:rPr>
        <w:t>PROGRAMA SEGUNDO TRIMESTRE</w:t>
      </w:r>
    </w:p>
    <w:p w:rsidR="00CD06D7" w:rsidRDefault="00CD06D7" w:rsidP="00CD06D7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p w:rsidR="00CD06D7" w:rsidRPr="00CD06D7" w:rsidRDefault="00CD06D7" w:rsidP="00CD06D7">
      <w:pPr>
        <w:jc w:val="center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CD06D7">
        <w:rPr>
          <w:rFonts w:ascii="Arial" w:hAnsi="Arial" w:cs="Arial"/>
          <w:b/>
          <w:color w:val="FF0000"/>
          <w:sz w:val="24"/>
          <w:szCs w:val="24"/>
        </w:rPr>
        <w:t>UNIDAD nº 2: (segundo trimestre)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La literatura del neoclasicismo: </w:t>
      </w:r>
      <w:r w:rsidRPr="0007036B">
        <w:rPr>
          <w:rFonts w:ascii="Arial" w:hAnsi="Arial" w:cs="Arial"/>
          <w:sz w:val="24"/>
          <w:szCs w:val="24"/>
        </w:rPr>
        <w:t xml:space="preserve">concepto. Características. Representantes. La literatura de la independencia.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(Pág.17- 19)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“Himno Nacional Argentino”. Y fragmentos de la obra dramática: “El hipócrita político” de Leandro Fernández de Moratín.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color w:val="00B050"/>
          <w:sz w:val="24"/>
          <w:szCs w:val="24"/>
        </w:rPr>
        <w:t>Pág.</w:t>
      </w:r>
      <w:r w:rsidRPr="0007036B">
        <w:rPr>
          <w:rFonts w:ascii="Arial" w:hAnsi="Arial" w:cs="Arial"/>
          <w:b/>
          <w:color w:val="00B050"/>
          <w:sz w:val="24"/>
          <w:szCs w:val="24"/>
        </w:rPr>
        <w:t>19</w:t>
      </w:r>
      <w:r>
        <w:rPr>
          <w:rFonts w:ascii="Arial" w:hAnsi="Arial" w:cs="Arial"/>
          <w:b/>
          <w:color w:val="00B050"/>
          <w:sz w:val="24"/>
          <w:szCs w:val="24"/>
        </w:rPr>
        <w:t>- 23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monografía:</w:t>
      </w:r>
      <w:r w:rsidRPr="0007036B">
        <w:rPr>
          <w:rFonts w:ascii="Arial" w:hAnsi="Arial" w:cs="Arial"/>
          <w:sz w:val="24"/>
          <w:szCs w:val="24"/>
        </w:rPr>
        <w:t xml:space="preserve"> tipos. Partes de una monografía. La remisión de las fuentes.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(Pág.23-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 55 a 59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El realismo en el teatro argentino:</w:t>
      </w:r>
      <w:r w:rsidRPr="0007036B">
        <w:rPr>
          <w:rFonts w:ascii="Arial" w:hAnsi="Arial" w:cs="Arial"/>
          <w:sz w:val="24"/>
          <w:szCs w:val="24"/>
        </w:rPr>
        <w:t xml:space="preserve"> el proyecto inmigratorio. El imperio del Realismo. El Realismo y el teatro argentino. Los orígenes del grotesco criollo. Características del grotesco criollo.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(Pág.24- 27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“Stéfano” de Armando </w:t>
      </w:r>
      <w:proofErr w:type="spellStart"/>
      <w:r w:rsidRPr="0007036B">
        <w:rPr>
          <w:rFonts w:ascii="Arial" w:hAnsi="Arial" w:cs="Arial"/>
          <w:sz w:val="24"/>
          <w:szCs w:val="24"/>
        </w:rPr>
        <w:t>Discépolo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60 a 69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ciencia y el futuro en la literatura:</w:t>
      </w:r>
      <w:r w:rsidRPr="0007036B">
        <w:rPr>
          <w:rFonts w:ascii="Arial" w:hAnsi="Arial" w:cs="Arial"/>
          <w:sz w:val="24"/>
          <w:szCs w:val="24"/>
        </w:rPr>
        <w:t xml:space="preserve"> la ficción científica. La ciencia al servicio de la fantasía. La ciencia ficción en Argentina. Un  mundo de viñetas. El hombre y su obra. Las coordenadas espacio temporales. La estructura de la historia. La construcción del héroe. Aventura y rutina.</w:t>
      </w:r>
      <w:r>
        <w:rPr>
          <w:rFonts w:ascii="Arial" w:hAnsi="Arial" w:cs="Arial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Pág. 76 a 82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 análisis de texto :</w:t>
      </w:r>
      <w:r w:rsidRPr="0007036B">
        <w:rPr>
          <w:rFonts w:ascii="Arial" w:hAnsi="Arial" w:cs="Arial"/>
          <w:sz w:val="24"/>
          <w:szCs w:val="24"/>
        </w:rPr>
        <w:t xml:space="preserve">“El </w:t>
      </w:r>
      <w:proofErr w:type="spellStart"/>
      <w:r w:rsidRPr="0007036B">
        <w:rPr>
          <w:rFonts w:ascii="Arial" w:hAnsi="Arial" w:cs="Arial"/>
          <w:sz w:val="24"/>
          <w:szCs w:val="24"/>
        </w:rPr>
        <w:t>eternauta</w:t>
      </w:r>
      <w:proofErr w:type="spellEnd"/>
      <w:r w:rsidRPr="0007036B">
        <w:rPr>
          <w:rFonts w:ascii="Arial" w:hAnsi="Arial" w:cs="Arial"/>
          <w:sz w:val="24"/>
          <w:szCs w:val="24"/>
        </w:rPr>
        <w:t>” de Héctor German Oesterheld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71 a 73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Default="00CD06D7" w:rsidP="00CD06D7">
      <w:pPr>
        <w:contextualSpacing/>
        <w:divId w:val="286549484"/>
        <w:rPr>
          <w:rFonts w:ascii="Arial" w:hAnsi="Arial" w:cs="Arial"/>
          <w:sz w:val="24"/>
          <w:szCs w:val="24"/>
        </w:rPr>
      </w:pPr>
    </w:p>
    <w:sectPr w:rsidR="00CD06D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3F" w:rsidRDefault="003E593F" w:rsidP="003C0D6D">
      <w:pPr>
        <w:spacing w:after="0" w:line="240" w:lineRule="auto"/>
      </w:pPr>
      <w:r>
        <w:separator/>
      </w:r>
    </w:p>
  </w:endnote>
  <w:endnote w:type="continuationSeparator" w:id="0">
    <w:p w:rsidR="003E593F" w:rsidRDefault="003E593F" w:rsidP="003C0D6D">
      <w:pPr>
        <w:spacing w:after="0" w:line="240" w:lineRule="auto"/>
      </w:pPr>
      <w:r>
        <w:continuationSeparator/>
      </w:r>
    </w:p>
  </w:endnote>
  <w:endnote w:type="continuationNotice" w:id="1">
    <w:p w:rsidR="003E593F" w:rsidRDefault="003E5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3F" w:rsidRDefault="003E593F" w:rsidP="003C0D6D">
      <w:pPr>
        <w:spacing w:after="0" w:line="240" w:lineRule="auto"/>
      </w:pPr>
      <w:r>
        <w:separator/>
      </w:r>
    </w:p>
  </w:footnote>
  <w:footnote w:type="continuationSeparator" w:id="0">
    <w:p w:rsidR="003E593F" w:rsidRDefault="003E593F" w:rsidP="003C0D6D">
      <w:pPr>
        <w:spacing w:after="0" w:line="240" w:lineRule="auto"/>
      </w:pPr>
      <w:r>
        <w:continuationSeparator/>
      </w:r>
    </w:p>
  </w:footnote>
  <w:footnote w:type="continuationNotice" w:id="1">
    <w:p w:rsidR="003E593F" w:rsidRDefault="003E5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7E99EB0" wp14:editId="1879A5E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DF1C5D" wp14:editId="434FD628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BD21298_"/>
      </v:shape>
    </w:pict>
  </w:numPicBullet>
  <w:numPicBullet w:numPicBulletId="1">
    <w:pict>
      <v:shape id="_x0000_i1046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23"/>
  </w:num>
  <w:num w:numId="21">
    <w:abstractNumId w:val="18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4"/>
  </w:num>
  <w:num w:numId="31">
    <w:abstractNumId w:val="15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49D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593F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09DA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9411-A7A2-4C6D-BCC7-1D8832BE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2026-06-07T20:27:00Z</dcterms:created>
  <dcterms:modified xsi:type="dcterms:W3CDTF">2026-06-07T20:27:00Z</dcterms:modified>
</cp:coreProperties>
</file>