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549D" w14:textId="1DE0EB51" w:rsidR="00211BD5" w:rsidRPr="0054539E" w:rsidRDefault="00211BD5" w:rsidP="00211BD5">
      <w:pPr>
        <w:rPr>
          <w:rFonts w:ascii="Arial" w:hAnsi="Arial" w:cs="Arial"/>
          <w:b/>
          <w:bCs/>
          <w:sz w:val="28"/>
          <w:szCs w:val="32"/>
        </w:rPr>
      </w:pPr>
      <w:r w:rsidRPr="0054539E">
        <w:rPr>
          <w:rFonts w:ascii="Arial" w:hAnsi="Arial" w:cs="Arial"/>
          <w:b/>
          <w:bCs/>
          <w:sz w:val="28"/>
          <w:szCs w:val="32"/>
        </w:rPr>
        <w:t xml:space="preserve">                             Programa</w:t>
      </w:r>
      <w:r>
        <w:rPr>
          <w:rFonts w:ascii="Arial" w:hAnsi="Arial" w:cs="Arial"/>
          <w:b/>
          <w:bCs/>
          <w:sz w:val="28"/>
          <w:szCs w:val="32"/>
        </w:rPr>
        <w:t xml:space="preserve"> de Sociología </w:t>
      </w:r>
      <w:r w:rsidR="00894106">
        <w:rPr>
          <w:rFonts w:ascii="Arial" w:hAnsi="Arial" w:cs="Arial"/>
          <w:b/>
          <w:bCs/>
          <w:sz w:val="28"/>
          <w:szCs w:val="32"/>
        </w:rPr>
        <w:t>Segundo</w:t>
      </w:r>
      <w:r>
        <w:rPr>
          <w:rFonts w:ascii="Arial" w:hAnsi="Arial" w:cs="Arial"/>
          <w:b/>
          <w:bCs/>
          <w:sz w:val="28"/>
          <w:szCs w:val="32"/>
        </w:rPr>
        <w:t xml:space="preserve"> trimestre</w:t>
      </w:r>
    </w:p>
    <w:p w14:paraId="6D6109F6" w14:textId="77777777" w:rsidR="00211BD5" w:rsidRPr="0054539E" w:rsidRDefault="00211BD5" w:rsidP="00211BD5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54539E">
        <w:rPr>
          <w:rFonts w:ascii="Arial" w:hAnsi="Arial" w:cs="Arial"/>
          <w:b/>
          <w:bCs/>
          <w:sz w:val="28"/>
          <w:szCs w:val="32"/>
        </w:rPr>
        <w:t>Instituto Juan Pablo II</w:t>
      </w:r>
    </w:p>
    <w:p w14:paraId="3EC8172E" w14:textId="77777777" w:rsidR="00211BD5" w:rsidRPr="0054539E" w:rsidRDefault="00211BD5" w:rsidP="00211BD5">
      <w:pPr>
        <w:jc w:val="both"/>
        <w:rPr>
          <w:rFonts w:ascii="Arial" w:hAnsi="Arial" w:cs="Arial"/>
          <w:b/>
          <w:bCs/>
          <w:sz w:val="28"/>
          <w:szCs w:val="32"/>
        </w:rPr>
      </w:pPr>
    </w:p>
    <w:p w14:paraId="1D2E2072" w14:textId="77777777" w:rsidR="00211BD5" w:rsidRPr="005E106C" w:rsidRDefault="00211BD5" w:rsidP="00211BD5">
      <w:pPr>
        <w:jc w:val="both"/>
        <w:rPr>
          <w:rFonts w:ascii="Arial" w:hAnsi="Arial" w:cs="Arial"/>
          <w:sz w:val="24"/>
          <w:szCs w:val="32"/>
        </w:rPr>
      </w:pPr>
      <w:r w:rsidRPr="005E106C">
        <w:rPr>
          <w:rFonts w:ascii="Arial" w:hAnsi="Arial" w:cs="Arial"/>
          <w:b/>
          <w:bCs/>
          <w:noProof/>
          <w:sz w:val="24"/>
          <w:szCs w:val="32"/>
          <w:lang w:eastAsia="es-AR"/>
        </w:rPr>
        <w:drawing>
          <wp:anchor distT="0" distB="0" distL="0" distR="0" simplePos="0" relativeHeight="251659264" behindDoc="0" locked="0" layoutInCell="1" allowOverlap="1" wp14:anchorId="6B6333EE" wp14:editId="57CC2539">
            <wp:simplePos x="0" y="0"/>
            <wp:positionH relativeFrom="margin">
              <wp:posOffset>4444365</wp:posOffset>
            </wp:positionH>
            <wp:positionV relativeFrom="paragraph">
              <wp:posOffset>11430</wp:posOffset>
            </wp:positionV>
            <wp:extent cx="1493520" cy="1390650"/>
            <wp:effectExtent l="0" t="0" r="0" b="0"/>
            <wp:wrapNone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49352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06C">
        <w:rPr>
          <w:rFonts w:ascii="Arial" w:hAnsi="Arial" w:cs="Arial"/>
          <w:b/>
          <w:bCs/>
          <w:sz w:val="24"/>
          <w:szCs w:val="32"/>
        </w:rPr>
        <w:t>Espacio</w:t>
      </w:r>
      <w:r w:rsidRPr="005E106C">
        <w:rPr>
          <w:rFonts w:ascii="Arial" w:hAnsi="Arial" w:cs="Arial"/>
          <w:sz w:val="24"/>
          <w:szCs w:val="32"/>
        </w:rPr>
        <w:t xml:space="preserve"> </w:t>
      </w:r>
      <w:r w:rsidRPr="005E106C">
        <w:rPr>
          <w:rFonts w:ascii="Arial" w:hAnsi="Arial" w:cs="Arial"/>
          <w:b/>
          <w:bCs/>
          <w:sz w:val="24"/>
          <w:szCs w:val="32"/>
        </w:rPr>
        <w:t xml:space="preserve">Curricular: </w:t>
      </w:r>
      <w:r w:rsidRPr="005E106C">
        <w:rPr>
          <w:rFonts w:ascii="Arial" w:hAnsi="Arial" w:cs="Arial"/>
          <w:sz w:val="24"/>
          <w:szCs w:val="32"/>
        </w:rPr>
        <w:t>Sociología</w:t>
      </w:r>
    </w:p>
    <w:p w14:paraId="0D9F7C00" w14:textId="77777777" w:rsidR="00211BD5" w:rsidRPr="005E106C" w:rsidRDefault="00211BD5" w:rsidP="00211BD5">
      <w:pPr>
        <w:jc w:val="both"/>
        <w:rPr>
          <w:rFonts w:ascii="Arial" w:hAnsi="Arial" w:cs="Arial"/>
          <w:sz w:val="24"/>
          <w:szCs w:val="32"/>
        </w:rPr>
      </w:pPr>
      <w:r w:rsidRPr="005E106C">
        <w:rPr>
          <w:rFonts w:ascii="Arial" w:hAnsi="Arial" w:cs="Arial"/>
          <w:b/>
          <w:bCs/>
          <w:sz w:val="24"/>
          <w:szCs w:val="32"/>
        </w:rPr>
        <w:t>Profesor</w:t>
      </w:r>
      <w:r w:rsidRPr="005E106C">
        <w:rPr>
          <w:rFonts w:ascii="Arial" w:hAnsi="Arial" w:cs="Arial"/>
          <w:sz w:val="24"/>
          <w:szCs w:val="32"/>
        </w:rPr>
        <w:t>: Adén Maximiliano</w:t>
      </w:r>
    </w:p>
    <w:p w14:paraId="3A64C386" w14:textId="77777777" w:rsidR="00211BD5" w:rsidRPr="005E106C" w:rsidRDefault="00211BD5" w:rsidP="00211BD5">
      <w:pPr>
        <w:jc w:val="both"/>
        <w:rPr>
          <w:rFonts w:ascii="Arial" w:hAnsi="Arial" w:cs="Arial"/>
          <w:sz w:val="24"/>
          <w:szCs w:val="32"/>
        </w:rPr>
      </w:pPr>
      <w:r w:rsidRPr="005E106C">
        <w:rPr>
          <w:rFonts w:ascii="Arial" w:hAnsi="Arial" w:cs="Arial"/>
          <w:b/>
          <w:bCs/>
          <w:sz w:val="24"/>
          <w:szCs w:val="32"/>
        </w:rPr>
        <w:t>Curso</w:t>
      </w:r>
      <w:r w:rsidRPr="005E106C">
        <w:rPr>
          <w:rFonts w:ascii="Arial" w:hAnsi="Arial" w:cs="Arial"/>
          <w:sz w:val="24"/>
          <w:szCs w:val="32"/>
        </w:rPr>
        <w:t xml:space="preserve">: 5 año A                                                                                                              </w:t>
      </w:r>
    </w:p>
    <w:p w14:paraId="46ADB602" w14:textId="77777777" w:rsidR="00211BD5" w:rsidRPr="005E106C" w:rsidRDefault="00211BD5" w:rsidP="00211BD5">
      <w:pPr>
        <w:jc w:val="both"/>
        <w:rPr>
          <w:rFonts w:ascii="Arial" w:hAnsi="Arial" w:cs="Arial"/>
          <w:sz w:val="24"/>
          <w:szCs w:val="32"/>
        </w:rPr>
      </w:pPr>
      <w:r w:rsidRPr="005E106C">
        <w:rPr>
          <w:rFonts w:ascii="Arial" w:hAnsi="Arial" w:cs="Arial"/>
          <w:b/>
          <w:bCs/>
          <w:sz w:val="24"/>
          <w:szCs w:val="32"/>
        </w:rPr>
        <w:t>Año</w:t>
      </w:r>
      <w:r w:rsidRPr="005E106C">
        <w:rPr>
          <w:rFonts w:ascii="Arial" w:hAnsi="Arial" w:cs="Arial"/>
          <w:sz w:val="24"/>
          <w:szCs w:val="32"/>
        </w:rPr>
        <w:t>: 2026</w:t>
      </w:r>
    </w:p>
    <w:p w14:paraId="112C4BC3" w14:textId="77929142" w:rsidR="00211BD5" w:rsidRPr="005E106C" w:rsidRDefault="00211BD5" w:rsidP="00211BD5">
      <w:pPr>
        <w:jc w:val="both"/>
        <w:rPr>
          <w:rFonts w:ascii="Arial" w:hAnsi="Arial" w:cs="Arial"/>
          <w:b/>
          <w:bCs/>
          <w:sz w:val="24"/>
          <w:szCs w:val="32"/>
          <w:u w:val="single"/>
        </w:rPr>
      </w:pPr>
      <w:r w:rsidRPr="005E106C">
        <w:rPr>
          <w:rFonts w:ascii="Arial" w:hAnsi="Arial" w:cs="Arial"/>
          <w:b/>
          <w:bCs/>
          <w:sz w:val="24"/>
          <w:szCs w:val="32"/>
          <w:u w:val="single"/>
        </w:rPr>
        <w:t>Segundo Trimestre:</w:t>
      </w:r>
    </w:p>
    <w:p w14:paraId="1D496FE0" w14:textId="77777777" w:rsidR="00211BD5" w:rsidRPr="005E106C" w:rsidRDefault="00211BD5" w:rsidP="00211BD5">
      <w:pPr>
        <w:jc w:val="both"/>
        <w:rPr>
          <w:rFonts w:ascii="Arial" w:hAnsi="Arial" w:cs="Arial"/>
          <w:b/>
          <w:bCs/>
          <w:sz w:val="24"/>
          <w:szCs w:val="32"/>
          <w:u w:val="single"/>
        </w:rPr>
      </w:pPr>
    </w:p>
    <w:p w14:paraId="4EA9E794" w14:textId="77777777" w:rsidR="00211BD5" w:rsidRPr="005E106C" w:rsidRDefault="00211BD5" w:rsidP="00211BD5">
      <w:pPr>
        <w:rPr>
          <w:rFonts w:ascii="Arial" w:hAnsi="Arial"/>
          <w:b/>
          <w:bCs/>
          <w:sz w:val="24"/>
        </w:rPr>
      </w:pPr>
      <w:r w:rsidRPr="005E106C">
        <w:rPr>
          <w:rFonts w:ascii="Arial" w:hAnsi="Arial"/>
          <w:b/>
          <w:bCs/>
          <w:sz w:val="24"/>
        </w:rPr>
        <w:t>Unidad IV - Sociología y cultura</w:t>
      </w:r>
    </w:p>
    <w:p w14:paraId="67260988" w14:textId="77777777" w:rsidR="00211BD5" w:rsidRPr="005E106C" w:rsidRDefault="00211BD5" w:rsidP="00211BD5">
      <w:pPr>
        <w:rPr>
          <w:rFonts w:ascii="Arial" w:hAnsi="Arial"/>
          <w:sz w:val="24"/>
        </w:rPr>
      </w:pPr>
      <w:r w:rsidRPr="005E106C">
        <w:rPr>
          <w:rFonts w:ascii="Arial" w:hAnsi="Arial"/>
          <w:sz w:val="24"/>
        </w:rPr>
        <w:t xml:space="preserve">Noción de cultura. El poder y la organización de imágenes sociales. La civilización y “la cultura”. La noción de relativismo cultural: “las culturas”. Cultura dominante. </w:t>
      </w:r>
      <w:proofErr w:type="spellStart"/>
      <w:r w:rsidRPr="005E106C">
        <w:rPr>
          <w:rFonts w:ascii="Arial" w:hAnsi="Arial"/>
          <w:sz w:val="24"/>
        </w:rPr>
        <w:t>Gramsci</w:t>
      </w:r>
      <w:proofErr w:type="spellEnd"/>
      <w:r w:rsidRPr="005E106C">
        <w:rPr>
          <w:rFonts w:ascii="Arial" w:hAnsi="Arial"/>
          <w:sz w:val="24"/>
        </w:rPr>
        <w:t xml:space="preserve">, o la hegemonía como “sentido”. Pierre Bourdieu: de la estructura social a los “campos culturales”. Las nociones de campo y </w:t>
      </w:r>
      <w:proofErr w:type="spellStart"/>
      <w:r w:rsidRPr="005E106C">
        <w:rPr>
          <w:rFonts w:ascii="Arial" w:hAnsi="Arial"/>
          <w:sz w:val="24"/>
        </w:rPr>
        <w:t>habitus</w:t>
      </w:r>
      <w:proofErr w:type="spellEnd"/>
      <w:r w:rsidRPr="005E106C">
        <w:rPr>
          <w:rFonts w:ascii="Arial" w:hAnsi="Arial"/>
          <w:sz w:val="24"/>
        </w:rPr>
        <w:t xml:space="preserve">. Cultura de masas: las “industrias culturales”. Los estudios culturales británicos. La Escuela de Birmingham. Contracultura y resistencia. La década del ’60. Formas de la contracultura. Los </w:t>
      </w:r>
      <w:proofErr w:type="spellStart"/>
      <w:r w:rsidRPr="005E106C">
        <w:rPr>
          <w:rFonts w:ascii="Arial" w:hAnsi="Arial"/>
          <w:sz w:val="24"/>
        </w:rPr>
        <w:t>graffitis</w:t>
      </w:r>
      <w:proofErr w:type="spellEnd"/>
      <w:r w:rsidRPr="005E106C">
        <w:rPr>
          <w:rFonts w:ascii="Arial" w:hAnsi="Arial"/>
          <w:sz w:val="24"/>
        </w:rPr>
        <w:t xml:space="preserve">. La experiencia del Instituto Di Tella. La noción de identidad. La identidad en los tiempos de la globalización. ¿Nos une lo que nos venden? Globalización e identidad cultural. Acerca del debate modernidad-posmodernidad. Ser o no ser modernos. ¿Qué es la modernidad? La posmodernidad. </w:t>
      </w:r>
    </w:p>
    <w:p w14:paraId="39488E68" w14:textId="77777777" w:rsidR="00211BD5" w:rsidRPr="005E106C" w:rsidRDefault="00211BD5" w:rsidP="00211BD5">
      <w:pPr>
        <w:rPr>
          <w:rFonts w:ascii="Arial" w:hAnsi="Arial"/>
          <w:sz w:val="24"/>
        </w:rPr>
      </w:pPr>
    </w:p>
    <w:p w14:paraId="2F8C0A1E" w14:textId="77777777" w:rsidR="00211BD5" w:rsidRPr="005E106C" w:rsidRDefault="00211BD5" w:rsidP="00211BD5">
      <w:pPr>
        <w:rPr>
          <w:rFonts w:ascii="Arial" w:hAnsi="Arial"/>
          <w:b/>
          <w:bCs/>
          <w:sz w:val="24"/>
        </w:rPr>
      </w:pPr>
      <w:r w:rsidRPr="005E106C">
        <w:rPr>
          <w:rFonts w:ascii="Arial" w:hAnsi="Arial"/>
          <w:b/>
          <w:bCs/>
          <w:sz w:val="24"/>
        </w:rPr>
        <w:t>Unidad V - La teoría social en Argentina</w:t>
      </w:r>
    </w:p>
    <w:p w14:paraId="2A6CEEAD" w14:textId="77777777" w:rsidR="00211BD5" w:rsidRPr="005E106C" w:rsidRDefault="00211BD5" w:rsidP="00211BD5">
      <w:pPr>
        <w:rPr>
          <w:rFonts w:ascii="Arial" w:hAnsi="Arial"/>
          <w:sz w:val="24"/>
        </w:rPr>
      </w:pPr>
      <w:r w:rsidRPr="005E106C">
        <w:rPr>
          <w:rFonts w:ascii="Arial" w:hAnsi="Arial"/>
          <w:sz w:val="24"/>
        </w:rPr>
        <w:t xml:space="preserve">La generación de 1837 y los primeros pasos del pensamiento social. Esteban Echeverría: El matadero. Civilización o barbarie. Domingo Faustino Sarmiento. Juan B. Alberdi: Poblar el desierto. El pensamiento social en la modernidad argentina. Ramos Mejía y las multitudes argentinas. Ernesto Quesada: una sociología para el Estado. José Ingenieros y el problema de las razas. La sociología, las masas y la violencia. Gino </w:t>
      </w:r>
      <w:proofErr w:type="spellStart"/>
      <w:r w:rsidRPr="005E106C">
        <w:rPr>
          <w:rFonts w:ascii="Arial" w:hAnsi="Arial"/>
          <w:sz w:val="24"/>
        </w:rPr>
        <w:t>Germani</w:t>
      </w:r>
      <w:proofErr w:type="spellEnd"/>
      <w:r w:rsidRPr="005E106C">
        <w:rPr>
          <w:rFonts w:ascii="Arial" w:hAnsi="Arial"/>
          <w:sz w:val="24"/>
        </w:rPr>
        <w:t xml:space="preserve">: migración interna y movilización social. El debate con </w:t>
      </w:r>
      <w:proofErr w:type="spellStart"/>
      <w:r w:rsidRPr="005E106C">
        <w:rPr>
          <w:rFonts w:ascii="Arial" w:hAnsi="Arial"/>
          <w:sz w:val="24"/>
        </w:rPr>
        <w:t>Germani</w:t>
      </w:r>
      <w:proofErr w:type="spellEnd"/>
      <w:r w:rsidRPr="005E106C">
        <w:rPr>
          <w:rFonts w:ascii="Arial" w:hAnsi="Arial"/>
          <w:sz w:val="24"/>
        </w:rPr>
        <w:t xml:space="preserve"> en la década del setenta. Arturo </w:t>
      </w:r>
      <w:proofErr w:type="spellStart"/>
      <w:r w:rsidRPr="005E106C">
        <w:rPr>
          <w:rFonts w:ascii="Arial" w:hAnsi="Arial"/>
          <w:sz w:val="24"/>
        </w:rPr>
        <w:t>Jauretche</w:t>
      </w:r>
      <w:proofErr w:type="spellEnd"/>
      <w:r w:rsidRPr="005E106C">
        <w:rPr>
          <w:rFonts w:ascii="Arial" w:hAnsi="Arial"/>
          <w:sz w:val="24"/>
        </w:rPr>
        <w:t xml:space="preserve">: un estudio del </w:t>
      </w:r>
      <w:proofErr w:type="spellStart"/>
      <w:r w:rsidRPr="005E106C">
        <w:rPr>
          <w:rFonts w:ascii="Arial" w:hAnsi="Arial"/>
          <w:sz w:val="24"/>
        </w:rPr>
        <w:t>antiperonismo</w:t>
      </w:r>
      <w:proofErr w:type="spellEnd"/>
      <w:r w:rsidRPr="005E106C">
        <w:rPr>
          <w:rFonts w:ascii="Arial" w:hAnsi="Arial"/>
          <w:sz w:val="24"/>
        </w:rPr>
        <w:t xml:space="preserve">. Roberto </w:t>
      </w:r>
      <w:proofErr w:type="spellStart"/>
      <w:r w:rsidRPr="005E106C">
        <w:rPr>
          <w:rFonts w:ascii="Arial" w:hAnsi="Arial"/>
          <w:sz w:val="24"/>
        </w:rPr>
        <w:t>Carri</w:t>
      </w:r>
      <w:proofErr w:type="spellEnd"/>
      <w:r w:rsidRPr="005E106C">
        <w:rPr>
          <w:rFonts w:ascii="Arial" w:hAnsi="Arial"/>
          <w:sz w:val="24"/>
        </w:rPr>
        <w:t xml:space="preserve">: violencia social y violencia política. </w:t>
      </w:r>
    </w:p>
    <w:p w14:paraId="300D2B28" w14:textId="77777777" w:rsidR="00211BD5" w:rsidRPr="005E106C" w:rsidRDefault="00211BD5" w:rsidP="00211BD5">
      <w:pPr>
        <w:rPr>
          <w:rFonts w:ascii="Arial" w:hAnsi="Arial"/>
          <w:sz w:val="24"/>
        </w:rPr>
      </w:pPr>
    </w:p>
    <w:p w14:paraId="043D5BE0" w14:textId="77777777" w:rsidR="00211BD5" w:rsidRPr="005E106C" w:rsidRDefault="00211BD5" w:rsidP="00211BD5">
      <w:pPr>
        <w:rPr>
          <w:rFonts w:ascii="Arial" w:hAnsi="Arial"/>
          <w:sz w:val="24"/>
        </w:rPr>
      </w:pPr>
      <w:r w:rsidRPr="005E106C">
        <w:rPr>
          <w:rFonts w:ascii="Arial" w:hAnsi="Arial"/>
          <w:b/>
          <w:bCs/>
          <w:sz w:val="24"/>
        </w:rPr>
        <w:t>Unidad VI - El Estado, el poder y la sociedad</w:t>
      </w:r>
    </w:p>
    <w:p w14:paraId="40FA58A5" w14:textId="77777777" w:rsidR="00211BD5" w:rsidRPr="005E106C" w:rsidRDefault="00211BD5" w:rsidP="00211BD5">
      <w:pPr>
        <w:rPr>
          <w:rFonts w:ascii="Arial" w:hAnsi="Arial"/>
          <w:sz w:val="24"/>
        </w:rPr>
      </w:pPr>
      <w:r w:rsidRPr="005E106C">
        <w:rPr>
          <w:rFonts w:ascii="Arial" w:hAnsi="Arial"/>
          <w:sz w:val="24"/>
        </w:rPr>
        <w:t xml:space="preserve">La política y el Estado. Surgimiento del Estado moderno. La soberanía. El </w:t>
      </w:r>
      <w:proofErr w:type="spellStart"/>
      <w:r w:rsidRPr="005E106C">
        <w:rPr>
          <w:rFonts w:ascii="Arial" w:hAnsi="Arial"/>
          <w:sz w:val="24"/>
        </w:rPr>
        <w:t>contractualismo</w:t>
      </w:r>
      <w:proofErr w:type="spellEnd"/>
      <w:r w:rsidRPr="005E106C">
        <w:rPr>
          <w:rFonts w:ascii="Arial" w:hAnsi="Arial"/>
          <w:sz w:val="24"/>
        </w:rPr>
        <w:t xml:space="preserve">. Hobbes y el Leviatán: la razón de uno sobre las pasiones de todos. ¿Por qué los gobernados obedecen? Jean-Jacques Rousseau y la voluntad general. La tradición liberal y del orden social. Marx: la crítica al orden social. Capitalismo y derechos humanos. Louis </w:t>
      </w:r>
      <w:proofErr w:type="spellStart"/>
      <w:r w:rsidRPr="005E106C">
        <w:rPr>
          <w:rFonts w:ascii="Arial" w:hAnsi="Arial"/>
          <w:sz w:val="24"/>
        </w:rPr>
        <w:t>Althusser</w:t>
      </w:r>
      <w:proofErr w:type="spellEnd"/>
      <w:r w:rsidRPr="005E106C">
        <w:rPr>
          <w:rFonts w:ascii="Arial" w:hAnsi="Arial"/>
          <w:sz w:val="24"/>
        </w:rPr>
        <w:t xml:space="preserve">: ideología y reproducción social. Las relaciones de poder en la sociedad. El poder. Legalidad y legitimidad. Desobediencia civil. El anarquismo. Poder y control social. La sociedad disciplinaria. La microfísica del poder según Michel Foucault. El panóptico. La sociedad de control. Críticas a Foucault. </w:t>
      </w:r>
    </w:p>
    <w:p w14:paraId="64E5514A" w14:textId="77777777" w:rsidR="00211BD5" w:rsidRPr="005E106C" w:rsidRDefault="00211BD5" w:rsidP="00211BD5">
      <w:pPr>
        <w:rPr>
          <w:rFonts w:ascii="Arial" w:hAnsi="Arial"/>
          <w:sz w:val="24"/>
        </w:rPr>
      </w:pPr>
    </w:p>
    <w:p w14:paraId="4293FC7B" w14:textId="77777777" w:rsidR="00211BD5" w:rsidRPr="005E106C" w:rsidRDefault="00211BD5" w:rsidP="00211BD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E106C">
        <w:rPr>
          <w:rFonts w:ascii="Arial" w:hAnsi="Arial" w:cs="Arial"/>
          <w:b/>
          <w:bCs/>
          <w:sz w:val="24"/>
          <w:szCs w:val="24"/>
          <w:u w:val="single"/>
        </w:rPr>
        <w:t>Bibliografía</w:t>
      </w:r>
    </w:p>
    <w:p w14:paraId="4249C430" w14:textId="77777777" w:rsidR="00211BD5" w:rsidRPr="005E106C" w:rsidRDefault="00211BD5" w:rsidP="00211BD5">
      <w:pPr>
        <w:rPr>
          <w:rFonts w:ascii="Arial" w:hAnsi="Arial" w:cs="Arial"/>
          <w:sz w:val="24"/>
          <w:szCs w:val="24"/>
        </w:rPr>
      </w:pPr>
      <w:proofErr w:type="spellStart"/>
      <w:r w:rsidRPr="005E106C">
        <w:rPr>
          <w:rFonts w:ascii="Arial" w:eastAsia="Times New Roman" w:hAnsi="Arial" w:cs="Arial"/>
          <w:b/>
          <w:bCs/>
          <w:sz w:val="24"/>
          <w:szCs w:val="24"/>
        </w:rPr>
        <w:t>Paradeda</w:t>
      </w:r>
      <w:proofErr w:type="spellEnd"/>
      <w:r w:rsidRPr="005E106C">
        <w:rPr>
          <w:rFonts w:ascii="Arial" w:eastAsia="Times New Roman" w:hAnsi="Arial" w:cs="Arial"/>
          <w:b/>
          <w:bCs/>
          <w:sz w:val="24"/>
          <w:szCs w:val="24"/>
        </w:rPr>
        <w:t xml:space="preserve">, D., Pintos Andrade, E. W., &amp; Ríos, A. (2007). </w:t>
      </w:r>
      <w:r w:rsidRPr="005E106C">
        <w:rPr>
          <w:rFonts w:ascii="Arial" w:eastAsia="Times New Roman" w:hAnsi="Arial" w:cs="Arial"/>
          <w:b/>
          <w:bCs/>
          <w:i/>
          <w:iCs/>
          <w:sz w:val="24"/>
          <w:szCs w:val="24"/>
        </w:rPr>
        <w:t>Sociología</w:t>
      </w:r>
      <w:r w:rsidRPr="005E106C">
        <w:rPr>
          <w:rFonts w:ascii="Arial" w:eastAsia="Times New Roman" w:hAnsi="Arial" w:cs="Arial"/>
          <w:b/>
          <w:bCs/>
          <w:sz w:val="24"/>
          <w:szCs w:val="24"/>
        </w:rPr>
        <w:t xml:space="preserve"> (2ª ed.). Buenos Aires, Argentina: Editorial </w:t>
      </w:r>
      <w:proofErr w:type="spellStart"/>
      <w:r w:rsidRPr="005E106C">
        <w:rPr>
          <w:rFonts w:ascii="Arial" w:eastAsia="Times New Roman" w:hAnsi="Arial" w:cs="Arial"/>
          <w:b/>
          <w:bCs/>
          <w:sz w:val="24"/>
          <w:szCs w:val="24"/>
        </w:rPr>
        <w:t>Maipue</w:t>
      </w:r>
      <w:proofErr w:type="spellEnd"/>
    </w:p>
    <w:p w14:paraId="75D8626B" w14:textId="77777777" w:rsidR="00211BD5" w:rsidRPr="005E106C" w:rsidRDefault="00211BD5" w:rsidP="00211BD5">
      <w:pPr>
        <w:rPr>
          <w:rFonts w:ascii="Arial" w:hAnsi="Arial"/>
          <w:sz w:val="24"/>
        </w:rPr>
      </w:pPr>
    </w:p>
    <w:p w14:paraId="627557EC" w14:textId="77777777" w:rsidR="00211BD5" w:rsidRPr="005E106C" w:rsidRDefault="00211BD5" w:rsidP="00211BD5">
      <w:pPr>
        <w:jc w:val="both"/>
        <w:rPr>
          <w:rFonts w:ascii="Arial" w:hAnsi="Arial" w:cs="Arial"/>
          <w:b/>
          <w:bCs/>
          <w:sz w:val="24"/>
          <w:szCs w:val="32"/>
          <w:u w:val="single"/>
        </w:rPr>
      </w:pPr>
    </w:p>
    <w:p w14:paraId="00FAAA52" w14:textId="77777777" w:rsidR="00D47218" w:rsidRDefault="00D47218"/>
    <w:sectPr w:rsidR="00D472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D5"/>
    <w:rsid w:val="001001E3"/>
    <w:rsid w:val="00143EE1"/>
    <w:rsid w:val="001F57FC"/>
    <w:rsid w:val="00211BD5"/>
    <w:rsid w:val="005E106C"/>
    <w:rsid w:val="0086541D"/>
    <w:rsid w:val="00894106"/>
    <w:rsid w:val="00C23DBF"/>
    <w:rsid w:val="00C555A5"/>
    <w:rsid w:val="00D47218"/>
    <w:rsid w:val="00FB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4F35"/>
  <w15:chartTrackingRefBased/>
  <w15:docId w15:val="{B022693A-14E4-4C73-A994-5D679E01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D5"/>
    <w:rPr>
      <w:kern w:val="2"/>
      <w:lang w:val="es-E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211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1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1B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1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1B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:lang w:val="en-US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1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lang w:val="en-U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1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lang w:val="en-U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1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val="en-U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1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1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1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1B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1BD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1BD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1B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1B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1B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1B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1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211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1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211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1BD5"/>
    <w:pPr>
      <w:spacing w:before="160"/>
      <w:jc w:val="center"/>
    </w:pPr>
    <w:rPr>
      <w:i/>
      <w:iCs/>
      <w:color w:val="404040" w:themeColor="text1" w:themeTint="BF"/>
      <w:kern w:val="0"/>
      <w:lang w:val="en-US"/>
      <w14:ligatures w14:val="none"/>
    </w:rPr>
  </w:style>
  <w:style w:type="character" w:customStyle="1" w:styleId="CitaCar">
    <w:name w:val="Cita Car"/>
    <w:basedOn w:val="Fuentedeprrafopredeter"/>
    <w:link w:val="Cita"/>
    <w:uiPriority w:val="29"/>
    <w:rsid w:val="00211B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1BD5"/>
    <w:pPr>
      <w:ind w:left="720"/>
      <w:contextualSpacing/>
    </w:pPr>
    <w:rPr>
      <w:kern w:val="0"/>
      <w:lang w:val="en-U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211BD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1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:lang w:val="en-US"/>
      <w14:ligatures w14:val="non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1BD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1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maxiaden81@gmail.com</cp:lastModifiedBy>
  <cp:revision>2</cp:revision>
  <dcterms:created xsi:type="dcterms:W3CDTF">2026-06-05T10:16:00Z</dcterms:created>
  <dcterms:modified xsi:type="dcterms:W3CDTF">2026-06-05T10:16:00Z</dcterms:modified>
</cp:coreProperties>
</file>