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ATE (acompañamiento a las trayectorias escolares)</w:t>
      </w:r>
    </w:p>
    <w:p w:rsidR="00000000" w:rsidDel="00000000" w:rsidP="00000000" w:rsidRDefault="00000000" w:rsidRPr="00000000" w14:paraId="00000002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5 Año B</w:t>
      </w:r>
    </w:p>
    <w:p w:rsidR="00000000" w:rsidDel="00000000" w:rsidP="00000000" w:rsidRDefault="00000000" w:rsidRPr="00000000" w14:paraId="00000003">
      <w:pPr>
        <w:spacing w:after="12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4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TRABAJO PRÁCTICO N° 14</w:t>
      </w:r>
    </w:p>
    <w:p w:rsidR="00000000" w:rsidDel="00000000" w:rsidP="00000000" w:rsidRDefault="00000000" w:rsidRPr="00000000" w14:paraId="00000005">
      <w:pPr>
        <w:spacing w:after="120" w:line="310.79999999999995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f8a3xxx4rctr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Tema:Autoestima y autoconcepto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Autoconcepto: Es la imagen que tenemos de nosotros mismos (cómo creemos que somos).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95p3l65reb74" w:id="2"/>
      <w:bookmarkEnd w:id="2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Autoestima: Es la valoración que hacemos de nosotros mismos, cuánto nos apreciamos y respetamos.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80" w:before="28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1lud2oa8htoo" w:id="3"/>
      <w:bookmarkEnd w:id="3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Actividad: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Piensa y completa:</w:t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Tres cosas que hago bien.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cualidad que me caracteriza.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Algo que me gusta de mi personalidad.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dificultad que estoy intentando superar.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Una meta que me gustaría alcanzar este año.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Preguntas para debatir: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24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¿Todas las personas tienen las mismas habilidades?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¿Se puede ser inteligente de diferentes maneras?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numPr>
          <w:ilvl w:val="0"/>
          <w:numId w:val="1"/>
        </w:numPr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cosas nos hacen valiosos además de las notas?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numPr>
          <w:ilvl w:val="0"/>
          <w:numId w:val="1"/>
        </w:numPr>
        <w:spacing w:after="240" w:before="0" w:beforeAutospacing="0" w:line="288" w:lineRule="auto"/>
        <w:ind w:left="720" w:hanging="360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nos sentimos cuando alguien reconoce nuestros esfuerzos?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mtgy6usikn0t" w:id="4"/>
      <w:bookmarkEnd w:id="4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Frases para reflexionar 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u1pw4zay3ijy" w:id="5"/>
      <w:bookmarkEnd w:id="5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“Las notas son una herramienta para conocer nuestros aprendizajes, pero no determinan quiénes somos. Cada persona tiene talentos, capacidades, valores y fortalezas que la hacen única. La autoestima se construye reconociendo nuestros logros, aceptando nuestras dificultades y valorándonos como personas.”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spacing w:after="240" w:before="240"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uo9dkv2wwil8" w:id="6"/>
      <w:bookmarkEnd w:id="6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“Mi valor como persona no depende de una nota, sino de mis esfuerzos, mis cualidades y mi capacidad de seguir aprendiendo.”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spacing w:line="288" w:lineRule="auto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247zrkevtp2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/QhsPnrFiblONVzBu4a9Qq84rQ==">CgMxLjAyDmguZjhhM3h4eDRyY3RyMg5oLnQyNDd6cmtldnRwMjIOaC45NXAzbDY1cmViNzQyDmguMWx1ZDJvYThodG9vMg5oLnQyNDd6cmtldnRwMjIOaC50MjQ3enJrZXZ0cDIyDmgudDI0N3pya2V2dHAyMg5oLnQyNDd6cmtldnRwMjIOaC50MjQ3enJrZXZ0cDIyDmgudDI0N3pya2V2dHAyMg5oLnQyNDd6cmtldnRwMjIOaC50MjQ3enJrZXZ0cDIyDmgudDI0N3pya2V2dHAyMg5oLnQyNDd6cmtldnRwMjIOaC50MjQ3enJrZXZ0cDIyDmgubXRneTZ1c2lrbjB0Mg5oLnUxcHc0emF5M2lqeTIOaC51bzlka3Yyd3dpbDgyDmgudDI0N3pya2V2dHAy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