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Salud y adolescencia. Editorial Mandioca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N°25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rPr>
          <w:rFonts w:ascii="Arial" w:cs="Arial" w:eastAsia="Arial" w:hAnsi="Arial"/>
          <w:sz w:val="24"/>
          <w:szCs w:val="24"/>
        </w:rPr>
      </w:pPr>
      <w:bookmarkStart w:colFirst="0" w:colLast="0" w:name="_heading=h.56rrdot0knnc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Historia de las Juventudes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no es una realidad única ni igual para todas las personas.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juventudes son construcciones históricas y sociales que cambian según: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época.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cultura.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condición social.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género.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lugar donde viven las personas.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2sjtp6ejck1d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¿Cómo se veía a los jóvenes en otras épocas?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jyhxu3v4075h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Antigua Roma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Menor de 15 años: niño (puer).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15 a 30 años: adolescente.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30 a 45 años: joven.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los 14 años los varones podían comenzar a usar la toga y adquirir derechos como ciudadanos.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6g59c6ndemkm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Edad Media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etapas de la vida eran: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Infancia (0 a 7 años).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Pueritia (7 a 14 años).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(14 a 21 años).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Juventud (21 a 45 años).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Senectud.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Vejez.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Ancianidad.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r10g1rjpriks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Completen el siguiente cuadro: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Época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¿Cómo se consideraba a los jóvenes?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Antigua Roma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Edad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keepNext w:val="0"/>
        <w:keepLines w:val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fgwmptwkbn4z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2: ¿Por qué surge la juventud?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surge como categoría social durante la Modernidad.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importantes: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Revolución Industrial.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Necesidad de trabajadores capacitados.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Creación de sistemas educativos obligatorios.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Mayor permanencia de los jóvenes en la escuela.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5io8zkkm9wnp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Jóvenes, educación y trabajo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escuela comenzó a tener un papel fundamental porque: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Preparaba para el trabajo.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Favorecía la integración social.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Permitía adquirir conocimientos y habilidades.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Argentina, la educación secundaria es obligatoria desde 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Respondan en parejas: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la Revolución Industrial favoreció el surgimiento de la juventud?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relación existe entre educación y trabajo?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creen que la escuela es importante para los jóvenes?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vlnj0p5oxoco" w:id="7"/>
      <w:bookmarkEnd w:id="7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Actividad de reflexión final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Escriban un breve texto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”¿Cómo es ser joven hoy en mi comunidad?”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u7k8HfW4G9X6Kan9B4QEm670A==">CgMxLjAyDmguNTZycmRvdDBrbm5jMg5oLjJzanRwNmVqY2sxZDIOaC5qeWh4dTN2NDA3NWgyDmguNmc1OWM2bmRlbWttMg5oLnIxMGcxcmpwcmlrczIOaC5mZ3dtcHR3a2JuNHoyDmguNWlvOHpra205d25wMg5oLnZsbmowcDVveG9jbzgAciExcnJUMlhvZlgtVm95bmNpakR1NEZsZjRFRkZrTVdKZlA=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