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Salud y adolescencia. Editorial Mandioca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N°24 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adolescencia es una etapa de la vida caracterizada por cambios físicos, psicológicos y sociales que permiten el paso gradual hacia la adultez.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Según la OMS: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comprende aproximadamente entre los 10 y 19 años.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Etapas de la adolescencia: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Adolescencia temprana: 10 a 14 años.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Adolescencia tardía: 15 a 19 años.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Adolescencia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Etapa de crecimiento y cambios.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producen transformaciones físicas, emocionales y sociales.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construye la identidad personal.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Juventud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una categoría sociocultural.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Generalmente comprende entre los 15 y 24 años.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Está relacionada con la participación social, la autonomía y los proyectos de vida.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398a34o2atc4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¿Qué es el adultocentrismo?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una forma de pensar en la que las personas adultas son consideradas más importantes y sus opiniones tienen mayor valor que las de niños, niñas y adolescentes.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4uhsxejxidkv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Ejemplos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“Los jóvenes no saben nada.”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“Cuando seas adulto podrás opinar.”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escuchar las ideas de los adolescentes por su edad.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Arial" w:cs="Arial" w:eastAsia="Arial" w:hAnsi="Arial"/>
          <w:color w:val="000000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Actividades : lectura de las páginas 46 y 47.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Lean las siguientes situaciones y respondan: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Un grupo de estudiantes propone mejorar el patio de la escuela, pero los adultos no escuchan sus ideas.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Un adolescente participa en una reunión vecinal y sus opiniones son tomadas en cuenta.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Preguntas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¿En cuál de las situaciones aparece el adultocentrismo?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¿Por qué?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¿Cómo podrían participar más los jóvenes en su comunidad?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significa para ustedes ser adolescente?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cambios han observado en esta etapa?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¿Creen que todos los adolescentes son iguales? ¿Por qué?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rGSYxtE2c/aeVokNwjTPzlzMA==">CgMxLjAyDmguMzk4YTM0bzJhdGM0Mg5oLjR1aHN4ZWp4aWRrdjgAciExcnJUMlhvZlgtVm95bmNpakR1NEZsZjRFRkZrTVdKZlA=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