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DC2E9F">
        <w:rPr>
          <w:sz w:val="24"/>
          <w:szCs w:val="20"/>
        </w:rPr>
        <w:t>6 año A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DC2E9F">
        <w:rPr>
          <w:sz w:val="24"/>
          <w:szCs w:val="20"/>
        </w:rPr>
        <w:t>: 30</w:t>
      </w:r>
      <w:r w:rsidR="00C36BFA">
        <w:rPr>
          <w:sz w:val="24"/>
          <w:szCs w:val="20"/>
        </w:rPr>
        <w:t>/04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Pr="00BB1F8C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227EF5">
        <w:rPr>
          <w:b/>
          <w:color w:val="000000" w:themeColor="text1"/>
          <w:sz w:val="32"/>
          <w:szCs w:val="24"/>
        </w:rPr>
        <w:t>13</w:t>
      </w:r>
    </w:p>
    <w:p w:rsidR="00BB1F8C" w:rsidRPr="00BB1F8C" w:rsidRDefault="00002DF7" w:rsidP="00520237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Tema: </w:t>
      </w:r>
      <w:r w:rsidR="009A537A">
        <w:rPr>
          <w:b/>
          <w:color w:val="000000" w:themeColor="text1"/>
          <w:sz w:val="32"/>
          <w:szCs w:val="24"/>
        </w:rPr>
        <w:t>Técnicas de estudio</w:t>
      </w:r>
      <w:r w:rsidR="00227EF5">
        <w:rPr>
          <w:b/>
          <w:color w:val="000000" w:themeColor="text1"/>
          <w:sz w:val="32"/>
          <w:szCs w:val="24"/>
        </w:rPr>
        <w:t>- el cuadro comparativo</w:t>
      </w:r>
    </w:p>
    <w:p w:rsidR="00002DF7" w:rsidRPr="00BB1F8C" w:rsidRDefault="008864B0" w:rsidP="00CE2BEC">
      <w:pPr>
        <w:rPr>
          <w:bCs/>
          <w:color w:val="000000" w:themeColor="text1"/>
          <w:sz w:val="24"/>
          <w:szCs w:val="24"/>
          <w:highlight w:val="yellow"/>
        </w:rPr>
      </w:pPr>
      <w:r w:rsidRPr="00BB1F8C">
        <w:rPr>
          <w:bCs/>
          <w:color w:val="000000" w:themeColor="text1"/>
          <w:sz w:val="24"/>
          <w:szCs w:val="24"/>
          <w:highlight w:val="yellow"/>
        </w:rPr>
        <w:t xml:space="preserve">Actividades: </w:t>
      </w:r>
    </w:p>
    <w:p w:rsidR="00480415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002DF7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002DF7" w:rsidRPr="00BB1F8C">
        <w:rPr>
          <w:bCs/>
          <w:color w:val="000000" w:themeColor="text1"/>
          <w:sz w:val="24"/>
          <w:szCs w:val="24"/>
        </w:rPr>
        <w:t xml:space="preserve"> </w:t>
      </w:r>
      <w:r w:rsidR="00227EF5">
        <w:rPr>
          <w:bCs/>
          <w:color w:val="000000" w:themeColor="text1"/>
          <w:sz w:val="24"/>
          <w:szCs w:val="24"/>
        </w:rPr>
        <w:t>explicación de técnicas de estudio y diferencias de cada una, en forma oral.</w:t>
      </w:r>
    </w:p>
    <w:p w:rsidR="00002DF7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E4A2A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9E4A2A" w:rsidRPr="00BB1F8C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DC2E9F">
        <w:rPr>
          <w:bCs/>
          <w:color w:val="000000" w:themeColor="text1"/>
          <w:sz w:val="24"/>
          <w:szCs w:val="24"/>
        </w:rPr>
        <w:t xml:space="preserve">lectura de las páginas 20 </w:t>
      </w:r>
      <w:bookmarkStart w:id="0" w:name="_GoBack"/>
      <w:bookmarkEnd w:id="0"/>
      <w:r w:rsidR="00227EF5">
        <w:rPr>
          <w:bCs/>
          <w:color w:val="000000" w:themeColor="text1"/>
          <w:sz w:val="24"/>
          <w:szCs w:val="24"/>
        </w:rPr>
        <w:t>a 22</w:t>
      </w:r>
    </w:p>
    <w:p w:rsidR="00227EF5" w:rsidRPr="00DC2E9F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227EF5">
        <w:rPr>
          <w:bCs/>
          <w:color w:val="000000" w:themeColor="text1"/>
          <w:sz w:val="24"/>
          <w:szCs w:val="24"/>
          <w:u w:val="single"/>
        </w:rPr>
        <w:t>:</w:t>
      </w:r>
      <w:r w:rsidR="00227EF5">
        <w:rPr>
          <w:bCs/>
          <w:color w:val="000000" w:themeColor="text1"/>
          <w:sz w:val="24"/>
          <w:szCs w:val="24"/>
        </w:rPr>
        <w:t xml:space="preserve"> aplicación de técnicas de estudio</w:t>
      </w:r>
    </w:p>
    <w:p w:rsidR="00227EF5" w:rsidRPr="00227EF5" w:rsidRDefault="00227EF5" w:rsidP="00227EF5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Century Gothic" w:hAnsi="Century Gothic"/>
          <w:b/>
          <w:color w:val="FF0000"/>
          <w:sz w:val="24"/>
          <w:szCs w:val="24"/>
        </w:rPr>
      </w:pPr>
      <w:r w:rsidRPr="00227EF5">
        <w:rPr>
          <w:rFonts w:ascii="Century Gothic" w:hAnsi="Century Gothic"/>
          <w:b/>
          <w:color w:val="FF0000"/>
          <w:sz w:val="24"/>
          <w:szCs w:val="24"/>
        </w:rPr>
        <w:t xml:space="preserve">Actividad: </w:t>
      </w:r>
      <w:r w:rsidRPr="00227EF5">
        <w:rPr>
          <w:rFonts w:ascii="Century Gothic" w:hAnsi="Century Gothic"/>
          <w:sz w:val="24"/>
          <w:szCs w:val="24"/>
        </w:rPr>
        <w:t>lean el siguiente texto y luego elaboren un cuadro comparativo con la información allí contenida</w:t>
      </w:r>
      <w:r w:rsidRPr="00227EF5">
        <w:rPr>
          <w:rFonts w:ascii="Century Gothic" w:hAnsi="Century Gothic"/>
          <w:b/>
          <w:sz w:val="24"/>
          <w:szCs w:val="24"/>
        </w:rPr>
        <w:t>.</w:t>
      </w:r>
    </w:p>
    <w:p w:rsidR="00227EF5" w:rsidRPr="00227EF5" w:rsidRDefault="00227EF5" w:rsidP="00227EF5">
      <w:pPr>
        <w:pStyle w:val="Prrafodelista"/>
        <w:jc w:val="both"/>
        <w:rPr>
          <w:rFonts w:ascii="Century Gothic" w:hAnsi="Century Gothic"/>
          <w:i/>
          <w:sz w:val="24"/>
          <w:szCs w:val="24"/>
        </w:rPr>
      </w:pPr>
    </w:p>
    <w:p w:rsidR="00227EF5" w:rsidRPr="00227EF5" w:rsidRDefault="00227EF5" w:rsidP="00227EF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  <w:rPr>
          <w:rFonts w:ascii="Century Gothic" w:hAnsi="Century Gothic"/>
          <w:i/>
          <w:sz w:val="24"/>
          <w:szCs w:val="24"/>
        </w:rPr>
      </w:pPr>
      <w:r w:rsidRPr="00227EF5">
        <w:rPr>
          <w:rFonts w:ascii="Century Gothic" w:hAnsi="Century Gothic"/>
          <w:i/>
          <w:sz w:val="24"/>
          <w:szCs w:val="24"/>
        </w:rPr>
        <w:t>“La literatura popular abarca una amplia variedad de géneros. Si bien cada uno de ellos tiene sus propias características, hay varias básicas y compartidas, la fundamental de las cuales es que llegan a un público amplio y variado.</w:t>
      </w:r>
    </w:p>
    <w:p w:rsidR="00227EF5" w:rsidRPr="00227EF5" w:rsidRDefault="00227EF5" w:rsidP="00227EF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  <w:rPr>
          <w:rFonts w:ascii="Century Gothic" w:hAnsi="Century Gothic"/>
          <w:i/>
          <w:sz w:val="24"/>
          <w:szCs w:val="24"/>
        </w:rPr>
      </w:pPr>
      <w:r w:rsidRPr="00227EF5">
        <w:rPr>
          <w:rFonts w:ascii="Century Gothic" w:hAnsi="Century Gothic"/>
          <w:i/>
          <w:sz w:val="24"/>
          <w:szCs w:val="24"/>
        </w:rPr>
        <w:t xml:space="preserve">El género policial proviene de la llamada novela de sensaciones del siglo XIX, un tipo de ficción en la que abundan los sucesos sorprendentes y los secretos culpables, fue una precursora clave de la actual novela de detectives. Su máximo representante fue el inglés </w:t>
      </w:r>
      <w:proofErr w:type="spellStart"/>
      <w:r w:rsidRPr="00227EF5">
        <w:rPr>
          <w:rFonts w:ascii="Century Gothic" w:hAnsi="Century Gothic"/>
          <w:i/>
          <w:sz w:val="24"/>
          <w:szCs w:val="24"/>
        </w:rPr>
        <w:t>Wilkie</w:t>
      </w:r>
      <w:proofErr w:type="spellEnd"/>
      <w:r w:rsidRPr="00227EF5">
        <w:rPr>
          <w:rFonts w:ascii="Century Gothic" w:hAnsi="Century Gothic"/>
          <w:i/>
          <w:sz w:val="24"/>
          <w:szCs w:val="24"/>
        </w:rPr>
        <w:t xml:space="preserve"> Collins (1824-1889), cuyas novelas de misterio y suspense se caracterizaban por lo ingenioso de la trama y la minuciosidad de los detalles descriptivos. En La piedra lunar (1868), Collins escribió lo que muchos consideran la primera novela de detectives en inglés.</w:t>
      </w:r>
    </w:p>
    <w:p w:rsidR="00227EF5" w:rsidRPr="00227EF5" w:rsidRDefault="00227EF5" w:rsidP="00227EF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  <w:rPr>
          <w:rFonts w:ascii="Century Gothic" w:hAnsi="Century Gothic"/>
          <w:i/>
          <w:sz w:val="24"/>
          <w:szCs w:val="24"/>
        </w:rPr>
      </w:pPr>
      <w:r w:rsidRPr="00227EF5">
        <w:rPr>
          <w:rFonts w:ascii="Century Gothic" w:hAnsi="Century Gothic"/>
          <w:i/>
          <w:sz w:val="24"/>
          <w:szCs w:val="24"/>
        </w:rPr>
        <w:t xml:space="preserve">Los cuentos sobrenaturales abundan en la literatura popular, pero hasta la aparición de la novela gótica, en la segunda mitad del siglo XVIII, no se le dio expresión literaria a la creación de temor y curiosidad. Las novelas góticas, con sus paisajes atmosféricos, poblados de heroínas aterrorizadas y monjes siniestros, fueron las precursoras de los actuales cuentos de horror y de fantasmas. Durante la época romántica, el género gótico evolucionó y su credibilidad literaria fue en aumento gracias a Edgar Allan Poe en Estados Unidos y a E.T.A. </w:t>
      </w:r>
      <w:proofErr w:type="spellStart"/>
      <w:r w:rsidRPr="00227EF5">
        <w:rPr>
          <w:rFonts w:ascii="Century Gothic" w:hAnsi="Century Gothic"/>
          <w:i/>
          <w:sz w:val="24"/>
          <w:szCs w:val="24"/>
        </w:rPr>
        <w:t>Hoffmann</w:t>
      </w:r>
      <w:proofErr w:type="spellEnd"/>
      <w:r w:rsidRPr="00227EF5">
        <w:rPr>
          <w:rFonts w:ascii="Century Gothic" w:hAnsi="Century Gothic"/>
          <w:i/>
          <w:sz w:val="24"/>
          <w:szCs w:val="24"/>
        </w:rPr>
        <w:t xml:space="preserve"> en Alemania.</w:t>
      </w:r>
      <w:r w:rsidRPr="00227EF5">
        <w:rPr>
          <w:rFonts w:ascii="Century Gothic" w:hAnsi="Century Gothic"/>
          <w:sz w:val="24"/>
          <w:szCs w:val="24"/>
        </w:rPr>
        <w:t xml:space="preserve"> </w:t>
      </w:r>
      <w:r w:rsidRPr="00227EF5">
        <w:rPr>
          <w:rFonts w:ascii="Century Gothic" w:hAnsi="Century Gothic"/>
          <w:i/>
          <w:sz w:val="24"/>
          <w:szCs w:val="24"/>
        </w:rPr>
        <w:t xml:space="preserve">Las historias de vampiros, junto con relatos de adoración al diablo y lo oculto, son habituales en la producción de los recientes autores de la ficción popular </w:t>
      </w:r>
      <w:r w:rsidRPr="00227EF5">
        <w:rPr>
          <w:rFonts w:ascii="Century Gothic" w:hAnsi="Century Gothic"/>
          <w:i/>
          <w:sz w:val="24"/>
          <w:szCs w:val="24"/>
        </w:rPr>
        <w:lastRenderedPageBreak/>
        <w:t xml:space="preserve">de horror, entre los que destacan Dennis </w:t>
      </w:r>
      <w:proofErr w:type="spellStart"/>
      <w:r w:rsidRPr="00227EF5">
        <w:rPr>
          <w:rFonts w:ascii="Century Gothic" w:hAnsi="Century Gothic"/>
          <w:i/>
          <w:sz w:val="24"/>
          <w:szCs w:val="24"/>
        </w:rPr>
        <w:t>Wheatley</w:t>
      </w:r>
      <w:proofErr w:type="spellEnd"/>
      <w:r w:rsidRPr="00227EF5">
        <w:rPr>
          <w:rFonts w:ascii="Century Gothic" w:hAnsi="Century Gothic"/>
          <w:i/>
          <w:sz w:val="24"/>
          <w:szCs w:val="24"/>
        </w:rPr>
        <w:t xml:space="preserve"> en Gran Bretaña y Stephen King en Estados Unidos.</w:t>
      </w:r>
    </w:p>
    <w:p w:rsidR="00227EF5" w:rsidRPr="00227EF5" w:rsidRDefault="00227EF5" w:rsidP="00227EF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  <w:rPr>
          <w:rFonts w:ascii="Century Gothic" w:hAnsi="Century Gothic"/>
          <w:i/>
          <w:sz w:val="24"/>
          <w:szCs w:val="24"/>
        </w:rPr>
      </w:pPr>
      <w:r w:rsidRPr="00227EF5">
        <w:rPr>
          <w:rFonts w:ascii="Century Gothic" w:hAnsi="Century Gothic"/>
          <w:i/>
          <w:sz w:val="24"/>
          <w:szCs w:val="24"/>
        </w:rPr>
        <w:t xml:space="preserve">La ciencia ficción Tiene una famosa precursora en el siglo XIX: El doctor </w:t>
      </w:r>
      <w:proofErr w:type="spellStart"/>
      <w:r w:rsidRPr="00227EF5">
        <w:rPr>
          <w:rFonts w:ascii="Century Gothic" w:hAnsi="Century Gothic"/>
          <w:i/>
          <w:sz w:val="24"/>
          <w:szCs w:val="24"/>
        </w:rPr>
        <w:t>Frankestein</w:t>
      </w:r>
      <w:proofErr w:type="spellEnd"/>
      <w:r w:rsidRPr="00227EF5">
        <w:rPr>
          <w:rFonts w:ascii="Century Gothic" w:hAnsi="Century Gothic"/>
          <w:i/>
          <w:sz w:val="24"/>
          <w:szCs w:val="24"/>
        </w:rPr>
        <w:t xml:space="preserve"> de Mary Shelley, un cuento con influencias góticas, acerca de la experimentación científica. Pero el género de la ciencia ficción, tal como lo conocemos en la actualidad, no comenzó a surgir hasta fines del siglo XIX en las novelas científicas del francés Jules Verne y en las del inglés H.G. Wells. Estas introdujeron los temas que predominarían en ciencia ficción en años venideros: viajes en el tiempo en La máquina del tiempo (1895), invasiones del espacio exterior en La guerra de los mundos (1898) y experimentos quirúrgicos en La isla del doctor </w:t>
      </w:r>
      <w:proofErr w:type="spellStart"/>
      <w:r w:rsidRPr="00227EF5">
        <w:rPr>
          <w:rFonts w:ascii="Century Gothic" w:hAnsi="Century Gothic"/>
          <w:i/>
          <w:sz w:val="24"/>
          <w:szCs w:val="24"/>
        </w:rPr>
        <w:t>Moreau</w:t>
      </w:r>
      <w:proofErr w:type="spellEnd"/>
      <w:r w:rsidRPr="00227EF5">
        <w:rPr>
          <w:rFonts w:ascii="Century Gothic" w:hAnsi="Century Gothic"/>
          <w:i/>
          <w:sz w:val="24"/>
          <w:szCs w:val="24"/>
        </w:rPr>
        <w:t xml:space="preserve"> (1898).</w:t>
      </w:r>
    </w:p>
    <w:p w:rsidR="00227EF5" w:rsidRPr="00227EF5" w:rsidRDefault="00227EF5" w:rsidP="00227EF5">
      <w:pPr>
        <w:jc w:val="both"/>
        <w:rPr>
          <w:rFonts w:ascii="Century Gothic" w:eastAsia="Calibri" w:hAnsi="Century Gothic" w:cs="Times New Roman"/>
          <w:b/>
          <w:color w:val="538135" w:themeColor="accent6" w:themeShade="BF"/>
          <w:sz w:val="24"/>
          <w:szCs w:val="24"/>
        </w:rPr>
      </w:pPr>
    </w:p>
    <w:p w:rsidR="00227EF5" w:rsidRPr="00227EF5" w:rsidRDefault="00227EF5" w:rsidP="00CE2BEC">
      <w:pPr>
        <w:rPr>
          <w:bCs/>
          <w:color w:val="000000" w:themeColor="text1"/>
          <w:sz w:val="24"/>
          <w:szCs w:val="24"/>
          <w:u w:val="single"/>
        </w:rPr>
      </w:pPr>
    </w:p>
    <w:sectPr w:rsidR="00227EF5" w:rsidRPr="00227EF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3DA" w:rsidRDefault="008F73DA" w:rsidP="003C0D6D">
      <w:pPr>
        <w:spacing w:after="0" w:line="240" w:lineRule="auto"/>
      </w:pPr>
      <w:r>
        <w:separator/>
      </w:r>
    </w:p>
  </w:endnote>
  <w:endnote w:type="continuationSeparator" w:id="0">
    <w:p w:rsidR="008F73DA" w:rsidRDefault="008F73DA" w:rsidP="003C0D6D">
      <w:pPr>
        <w:spacing w:after="0" w:line="240" w:lineRule="auto"/>
      </w:pPr>
      <w:r>
        <w:continuationSeparator/>
      </w:r>
    </w:p>
  </w:endnote>
  <w:endnote w:type="continuationNotice" w:id="1">
    <w:p w:rsidR="008F73DA" w:rsidRDefault="008F73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3DA" w:rsidRDefault="008F73DA" w:rsidP="003C0D6D">
      <w:pPr>
        <w:spacing w:after="0" w:line="240" w:lineRule="auto"/>
      </w:pPr>
      <w:r>
        <w:separator/>
      </w:r>
    </w:p>
  </w:footnote>
  <w:footnote w:type="continuationSeparator" w:id="0">
    <w:p w:rsidR="008F73DA" w:rsidRDefault="008F73DA" w:rsidP="003C0D6D">
      <w:pPr>
        <w:spacing w:after="0" w:line="240" w:lineRule="auto"/>
      </w:pPr>
      <w:r>
        <w:continuationSeparator/>
      </w:r>
    </w:p>
  </w:footnote>
  <w:footnote w:type="continuationNotice" w:id="1">
    <w:p w:rsidR="008F73DA" w:rsidRDefault="008F73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A9FA4C9" wp14:editId="6981854A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8E352A8" wp14:editId="33E6CAA7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9" type="#_x0000_t75" style="width:11.25pt;height:11.25pt" o:bullet="t">
        <v:imagedata r:id="rId1" o:title="clip_image001"/>
      </v:shape>
    </w:pict>
  </w:numPicBullet>
  <w:numPicBullet w:numPicBulletId="1">
    <w:pict>
      <v:shape id="_x0000_i1250" type="#_x0000_t75" style="width:9.75pt;height:9.75pt" o:bullet="t">
        <v:imagedata r:id="rId2" o:title="BD21298_"/>
      </v:shape>
    </w:pict>
  </w:numPicBullet>
  <w:abstractNum w:abstractNumId="0">
    <w:nsid w:val="06203976"/>
    <w:multiLevelType w:val="hybridMultilevel"/>
    <w:tmpl w:val="214A77E2"/>
    <w:lvl w:ilvl="0" w:tplc="87DA38E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D4880"/>
    <w:multiLevelType w:val="hybridMultilevel"/>
    <w:tmpl w:val="1AA0C938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F5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8FF"/>
    <w:rsid w:val="00257AB9"/>
    <w:rsid w:val="00257C66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46B61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B4F"/>
    <w:rsid w:val="008E40F0"/>
    <w:rsid w:val="008F0108"/>
    <w:rsid w:val="008F0555"/>
    <w:rsid w:val="008F2EA4"/>
    <w:rsid w:val="008F3144"/>
    <w:rsid w:val="008F4ADA"/>
    <w:rsid w:val="008F4E8B"/>
    <w:rsid w:val="008F6A69"/>
    <w:rsid w:val="008F73DA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2E9F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36547-F04F-4216-8378-C1CE876C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2026-04-26T21:23:00Z</dcterms:created>
  <dcterms:modified xsi:type="dcterms:W3CDTF">2026-04-26T21:23:00Z</dcterms:modified>
</cp:coreProperties>
</file>