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16424C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ED3720">
        <w:rPr>
          <w:sz w:val="24"/>
          <w:szCs w:val="20"/>
        </w:rPr>
        <w:t>29</w:t>
      </w:r>
      <w:bookmarkStart w:id="0" w:name="_GoBack"/>
      <w:bookmarkEnd w:id="0"/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D3720">
        <w:rPr>
          <w:b/>
          <w:color w:val="000000" w:themeColor="text1"/>
          <w:sz w:val="32"/>
          <w:szCs w:val="24"/>
        </w:rPr>
        <w:t>16</w:t>
      </w:r>
    </w:p>
    <w:p w:rsidR="00ED3720" w:rsidRDefault="00ED3720" w:rsidP="00ED3720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“Naturalizar y desnaturalizar los fenómenos sociales”</w:t>
      </w:r>
      <w:r w:rsidRPr="00ED3720">
        <w:rPr>
          <w:b/>
          <w:color w:val="000000" w:themeColor="text1"/>
          <w:sz w:val="32"/>
          <w:szCs w:val="24"/>
        </w:rPr>
        <w:t xml:space="preserve"> </w:t>
      </w:r>
      <w:r>
        <w:rPr>
          <w:b/>
          <w:color w:val="000000" w:themeColor="text1"/>
          <w:sz w:val="32"/>
          <w:szCs w:val="24"/>
        </w:rPr>
        <w:t>y</w:t>
      </w:r>
      <w:r>
        <w:rPr>
          <w:b/>
          <w:color w:val="000000" w:themeColor="text1"/>
          <w:sz w:val="32"/>
          <w:szCs w:val="24"/>
        </w:rPr>
        <w:t xml:space="preserve"> “</w:t>
      </w:r>
      <w:proofErr w:type="spellStart"/>
      <w:r>
        <w:rPr>
          <w:b/>
          <w:color w:val="000000" w:themeColor="text1"/>
          <w:sz w:val="32"/>
          <w:szCs w:val="24"/>
        </w:rPr>
        <w:t>Historizar</w:t>
      </w:r>
      <w:proofErr w:type="spellEnd"/>
      <w:r>
        <w:rPr>
          <w:b/>
          <w:color w:val="000000" w:themeColor="text1"/>
          <w:sz w:val="32"/>
          <w:szCs w:val="24"/>
        </w:rPr>
        <w:t xml:space="preserve"> la cultura y la comunicación”</w:t>
      </w:r>
    </w:p>
    <w:p w:rsidR="00ED3720" w:rsidRDefault="00ED3720" w:rsidP="00ED3720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:rsidR="00ED3720" w:rsidRDefault="00ED3720" w:rsidP="00ED3720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repaso de conceptos del </w:t>
      </w:r>
      <w:proofErr w:type="spellStart"/>
      <w:r>
        <w:rPr>
          <w:bCs/>
          <w:color w:val="000000" w:themeColor="text1"/>
          <w:sz w:val="24"/>
          <w:szCs w:val="24"/>
        </w:rPr>
        <w:t>tp</w:t>
      </w:r>
      <w:proofErr w:type="spellEnd"/>
      <w:r>
        <w:rPr>
          <w:bCs/>
          <w:color w:val="000000" w:themeColor="text1"/>
          <w:sz w:val="24"/>
          <w:szCs w:val="24"/>
        </w:rPr>
        <w:t xml:space="preserve"> anterior.</w:t>
      </w:r>
    </w:p>
    <w:p w:rsidR="00ED3720" w:rsidRPr="00807B85" w:rsidRDefault="00ED3720" w:rsidP="00ED3720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>
        <w:rPr>
          <w:bCs/>
          <w:color w:val="000000" w:themeColor="text1"/>
          <w:sz w:val="24"/>
          <w:szCs w:val="24"/>
        </w:rPr>
        <w:t xml:space="preserve">lectura de las páginas </w:t>
      </w:r>
      <w:r>
        <w:rPr>
          <w:bCs/>
          <w:color w:val="000000" w:themeColor="text1"/>
          <w:sz w:val="24"/>
          <w:szCs w:val="24"/>
        </w:rPr>
        <w:t>37 a 43</w:t>
      </w:r>
    </w:p>
    <w:p w:rsidR="00ED3720" w:rsidRDefault="00ED3720" w:rsidP="00ED3720">
      <w:pPr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>
        <w:rPr>
          <w:sz w:val="24"/>
          <w:szCs w:val="24"/>
        </w:rPr>
        <w:t xml:space="preserve"> comprensión de texto</w:t>
      </w:r>
    </w:p>
    <w:p w:rsidR="00ED3720" w:rsidRDefault="00ED3720" w:rsidP="00ED3720">
      <w:pPr>
        <w:pStyle w:val="Prrafodelista"/>
        <w:numPr>
          <w:ilvl w:val="0"/>
          <w:numId w:val="14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¿Qué plantea en el prólogo de su libro el sociólogo Joseph </w:t>
      </w:r>
      <w:proofErr w:type="spellStart"/>
      <w:r>
        <w:rPr>
          <w:sz w:val="24"/>
          <w:szCs w:val="24"/>
        </w:rPr>
        <w:t>Vincent</w:t>
      </w:r>
      <w:proofErr w:type="spellEnd"/>
      <w:r>
        <w:rPr>
          <w:sz w:val="24"/>
          <w:szCs w:val="24"/>
        </w:rPr>
        <w:t xml:space="preserve"> Marqués?</w:t>
      </w:r>
      <w:r w:rsidRPr="003210CE">
        <w:rPr>
          <w:sz w:val="24"/>
          <w:szCs w:val="24"/>
        </w:rPr>
        <w:t xml:space="preserve"> </w:t>
      </w:r>
    </w:p>
    <w:p w:rsidR="00ED3720" w:rsidRDefault="00ED3720" w:rsidP="00ED3720">
      <w:pPr>
        <w:pStyle w:val="Prrafodelista"/>
        <w:numPr>
          <w:ilvl w:val="0"/>
          <w:numId w:val="14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¿podrán hacer una lista con aquellas cosas que piensan que son natural y aquellas que no?</w:t>
      </w:r>
    </w:p>
    <w:p w:rsidR="00ED3720" w:rsidRPr="003210CE" w:rsidRDefault="00ED3720" w:rsidP="00ED3720">
      <w:pPr>
        <w:pStyle w:val="Prrafodelista"/>
        <w:numPr>
          <w:ilvl w:val="0"/>
          <w:numId w:val="14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¿A qué llamamos fenómenos sociales?</w:t>
      </w:r>
    </w:p>
    <w:p w:rsidR="00ED3720" w:rsidRDefault="00ED3720" w:rsidP="00ED3720">
      <w:pPr>
        <w:pStyle w:val="Prrafodelista"/>
        <w:numPr>
          <w:ilvl w:val="0"/>
          <w:numId w:val="15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¿Qué plantea Pierre </w:t>
      </w:r>
      <w:proofErr w:type="spellStart"/>
      <w:r>
        <w:rPr>
          <w:sz w:val="24"/>
          <w:szCs w:val="24"/>
        </w:rPr>
        <w:t>Bourdeau</w:t>
      </w:r>
      <w:proofErr w:type="spellEnd"/>
      <w:r>
        <w:rPr>
          <w:sz w:val="24"/>
          <w:szCs w:val="24"/>
        </w:rPr>
        <w:t xml:space="preserve"> sobre los gustos?</w:t>
      </w:r>
      <w:r w:rsidRPr="003210CE">
        <w:rPr>
          <w:sz w:val="24"/>
          <w:szCs w:val="24"/>
        </w:rPr>
        <w:t xml:space="preserve"> </w:t>
      </w:r>
    </w:p>
    <w:p w:rsidR="00ED3720" w:rsidRDefault="00ED3720" w:rsidP="00ED3720">
      <w:pPr>
        <w:pStyle w:val="Prrafodelista"/>
        <w:numPr>
          <w:ilvl w:val="0"/>
          <w:numId w:val="15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¿A qué considerarías “buen gusto” en moda, música, películas o series? Y ¿cuáles serían de malos gustos a tu parecer? Comparte con tus compañeros esas opiniones</w:t>
      </w:r>
    </w:p>
    <w:p w:rsidR="00ED3720" w:rsidRDefault="00ED3720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sectPr w:rsidR="00ED3720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28" w:rsidRDefault="005D4D28" w:rsidP="003C0D6D">
      <w:pPr>
        <w:spacing w:after="0" w:line="240" w:lineRule="auto"/>
      </w:pPr>
      <w:r>
        <w:separator/>
      </w:r>
    </w:p>
  </w:endnote>
  <w:endnote w:type="continuationSeparator" w:id="0">
    <w:p w:rsidR="005D4D28" w:rsidRDefault="005D4D28" w:rsidP="003C0D6D">
      <w:pPr>
        <w:spacing w:after="0" w:line="240" w:lineRule="auto"/>
      </w:pPr>
      <w:r>
        <w:continuationSeparator/>
      </w:r>
    </w:p>
  </w:endnote>
  <w:endnote w:type="continuationNotice" w:id="1">
    <w:p w:rsidR="005D4D28" w:rsidRDefault="005D4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28" w:rsidRDefault="005D4D28" w:rsidP="003C0D6D">
      <w:pPr>
        <w:spacing w:after="0" w:line="240" w:lineRule="auto"/>
      </w:pPr>
      <w:r>
        <w:separator/>
      </w:r>
    </w:p>
  </w:footnote>
  <w:footnote w:type="continuationSeparator" w:id="0">
    <w:p w:rsidR="005D4D28" w:rsidRDefault="005D4D28" w:rsidP="003C0D6D">
      <w:pPr>
        <w:spacing w:after="0" w:line="240" w:lineRule="auto"/>
      </w:pPr>
      <w:r>
        <w:continuationSeparator/>
      </w:r>
    </w:p>
  </w:footnote>
  <w:footnote w:type="continuationNotice" w:id="1">
    <w:p w:rsidR="005D4D28" w:rsidRDefault="005D4D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28DC8BE6" wp14:editId="2FEFC229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BF85CF0" wp14:editId="221225F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9.2pt;height:9.2pt" o:bullet="t">
        <v:imagedata r:id="rId1" o:title="BD14794_"/>
      </v:shape>
    </w:pict>
  </w:numPicBullet>
  <w:numPicBullet w:numPicBulletId="1">
    <w:pict>
      <v:shape id="_x0000_i1169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FA49B9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13"/>
  </w:num>
  <w:num w:numId="12">
    <w:abstractNumId w:val="9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24C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C2D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D28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720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40025-A0AE-4FBC-89BF-C12B2213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2026-04-26T21:09:00Z</dcterms:created>
  <dcterms:modified xsi:type="dcterms:W3CDTF">2026-04-26T21:09:00Z</dcterms:modified>
</cp:coreProperties>
</file>