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4 año </w:t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Bibliografía: Calderón, S. E., Iuliani, L., Macchi, D., Rodríguez Usé, M. G., &amp; Rubinstein, J. (2015).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Física para la educación secundaria</w:t>
      </w:r>
      <w:r w:rsidDel="00000000" w:rsidR="00000000" w:rsidRPr="00000000">
        <w:rPr>
          <w:sz w:val="24"/>
          <w:szCs w:val="24"/>
          <w:rtl w:val="0"/>
        </w:rPr>
        <w:t xml:space="preserve"> (1.ª ed., edición para el alumno). Ciudad Autónoma de Buenos Aires, Argentina: Tinta Fresca.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Trabajo Práctico N °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12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4634368" cy="6057657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4368" cy="60576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5372100" cy="706755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0675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1590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b="0" l="0" r="0" t="0"/>
          <wp:wrapNone/>
          <wp:docPr id="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9pfi+RKOtVhJsSQ6zgFdN7U2A==">CgMxLjA4AHIhMWlQb21kSEZyVzhlXzFIcTFPYl9jNENmWXF0emZ2eHQz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