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73C2B" w14:textId="77777777" w:rsidR="001F5F8E" w:rsidRDefault="00000000" w:rsidP="00496EA7">
      <w:pPr>
        <w:spacing w:after="0" w:line="240" w:lineRule="auto"/>
        <w:jc w:val="both"/>
        <w:rPr>
          <w:sz w:val="24"/>
          <w:szCs w:val="24"/>
        </w:rPr>
      </w:pPr>
      <w:r>
        <w:rPr>
          <w:sz w:val="24"/>
          <w:szCs w:val="24"/>
        </w:rPr>
        <w:t>Materia: ATE</w:t>
      </w:r>
    </w:p>
    <w:p w14:paraId="6B0D179A" w14:textId="77777777" w:rsidR="001F5F8E" w:rsidRDefault="00000000" w:rsidP="00496EA7">
      <w:pPr>
        <w:spacing w:after="0" w:line="240" w:lineRule="auto"/>
        <w:jc w:val="both"/>
        <w:rPr>
          <w:sz w:val="24"/>
          <w:szCs w:val="24"/>
        </w:rPr>
      </w:pPr>
      <w:r>
        <w:rPr>
          <w:sz w:val="24"/>
          <w:szCs w:val="24"/>
        </w:rPr>
        <w:t xml:space="preserve">Profesor: Ana María Cosman </w:t>
      </w:r>
    </w:p>
    <w:p w14:paraId="2E5FE4E8" w14:textId="77777777" w:rsidR="001F5F8E" w:rsidRDefault="00000000" w:rsidP="00496EA7">
      <w:pPr>
        <w:spacing w:after="0" w:line="240" w:lineRule="auto"/>
        <w:jc w:val="both"/>
        <w:rPr>
          <w:sz w:val="24"/>
          <w:szCs w:val="24"/>
        </w:rPr>
      </w:pPr>
      <w:r>
        <w:rPr>
          <w:sz w:val="24"/>
          <w:szCs w:val="24"/>
        </w:rPr>
        <w:t>Curso: 4 B</w:t>
      </w:r>
    </w:p>
    <w:p w14:paraId="2FDD610A" w14:textId="77777777" w:rsidR="001F5F8E" w:rsidRDefault="001F5F8E">
      <w:pPr>
        <w:spacing w:after="0"/>
        <w:jc w:val="both"/>
        <w:rPr>
          <w:sz w:val="24"/>
          <w:szCs w:val="24"/>
        </w:rPr>
      </w:pPr>
    </w:p>
    <w:p w14:paraId="5AE07E6B" w14:textId="40A0CA5C" w:rsidR="001F5F8E" w:rsidRDefault="00000000" w:rsidP="00A92504">
      <w:pPr>
        <w:pBdr>
          <w:bottom w:val="single" w:sz="4" w:space="1" w:color="auto"/>
        </w:pBdr>
        <w:spacing w:after="0"/>
        <w:jc w:val="center"/>
        <w:rPr>
          <w:b/>
          <w:bCs/>
          <w:color w:val="000000"/>
          <w:sz w:val="32"/>
          <w:szCs w:val="32"/>
        </w:rPr>
      </w:pPr>
      <w:r>
        <w:rPr>
          <w:b/>
          <w:bCs/>
          <w:color w:val="000000"/>
          <w:sz w:val="32"/>
          <w:szCs w:val="32"/>
        </w:rPr>
        <w:t xml:space="preserve"> </w:t>
      </w:r>
      <w:r w:rsidR="00E43CD2">
        <w:rPr>
          <w:b/>
          <w:bCs/>
          <w:color w:val="000000"/>
          <w:sz w:val="32"/>
          <w:szCs w:val="32"/>
        </w:rPr>
        <w:t>Trabajo Practico 12</w:t>
      </w:r>
      <w:r w:rsidR="006B51D7">
        <w:rPr>
          <w:b/>
          <w:bCs/>
          <w:color w:val="000000"/>
          <w:sz w:val="32"/>
          <w:szCs w:val="32"/>
        </w:rPr>
        <w:t xml:space="preserve"> (cierre)</w:t>
      </w:r>
    </w:p>
    <w:p w14:paraId="0FEDEC38" w14:textId="77777777" w:rsidR="00496EA7" w:rsidRPr="00496EA7" w:rsidRDefault="004C684C" w:rsidP="00496EA7">
      <w:pPr>
        <w:jc w:val="center"/>
        <w:rPr>
          <w:i/>
          <w:iCs/>
          <w:sz w:val="28"/>
          <w:szCs w:val="28"/>
        </w:rPr>
      </w:pPr>
      <w:r w:rsidRPr="00496EA7">
        <w:rPr>
          <w:b/>
          <w:bCs/>
          <w:i/>
          <w:iCs/>
          <w:sz w:val="28"/>
          <w:szCs w:val="28"/>
        </w:rPr>
        <w:t>Eje 1: fortalecimiento académico</w:t>
      </w:r>
      <w:r w:rsidR="00496EA7" w:rsidRPr="00496EA7">
        <w:rPr>
          <w:b/>
          <w:bCs/>
          <w:i/>
          <w:iCs/>
          <w:sz w:val="28"/>
          <w:szCs w:val="28"/>
        </w:rPr>
        <w:t>.</w:t>
      </w:r>
      <w:r w:rsidR="00496EA7" w:rsidRPr="00496EA7">
        <w:rPr>
          <w:i/>
          <w:iCs/>
          <w:sz w:val="28"/>
          <w:szCs w:val="28"/>
        </w:rPr>
        <w:t xml:space="preserve">  Métodos de estudio II: Mapas conceptuales y cuadros sinópticos.</w:t>
      </w:r>
    </w:p>
    <w:p w14:paraId="64DBAD85" w14:textId="33B9B935" w:rsidR="004C684C" w:rsidRDefault="004C684C">
      <w:pPr>
        <w:ind w:left="720"/>
        <w:rPr>
          <w:b/>
          <w:bCs/>
          <w:sz w:val="28"/>
          <w:szCs w:val="28"/>
          <w:u w:val="single"/>
        </w:rPr>
      </w:pPr>
      <w:r w:rsidRPr="004C684C">
        <w:rPr>
          <w:b/>
          <w:bCs/>
          <w:sz w:val="28"/>
          <w:szCs w:val="28"/>
          <w:u w:val="single"/>
        </w:rPr>
        <w:t>Actividades:</w:t>
      </w:r>
    </w:p>
    <w:p w14:paraId="27B47017" w14:textId="5D222ADC" w:rsidR="00E43CD2" w:rsidRPr="00CA1087" w:rsidRDefault="00CA1087" w:rsidP="00E43CD2">
      <w:pPr>
        <w:pStyle w:val="Prrafodelista"/>
        <w:numPr>
          <w:ilvl w:val="0"/>
          <w:numId w:val="10"/>
        </w:numPr>
        <w:rPr>
          <w:b/>
          <w:bCs/>
          <w:sz w:val="28"/>
          <w:szCs w:val="28"/>
        </w:rPr>
      </w:pPr>
      <w:r w:rsidRPr="00CA1087">
        <w:rPr>
          <w:b/>
          <w:bCs/>
          <w:sz w:val="28"/>
          <w:szCs w:val="28"/>
        </w:rPr>
        <w:t>Revisión</w:t>
      </w:r>
      <w:r w:rsidR="00E43CD2" w:rsidRPr="00CA1087">
        <w:rPr>
          <w:b/>
          <w:bCs/>
          <w:sz w:val="28"/>
          <w:szCs w:val="28"/>
        </w:rPr>
        <w:t xml:space="preserve"> del</w:t>
      </w:r>
      <w:r w:rsidR="005C4FD0" w:rsidRPr="00CA1087">
        <w:rPr>
          <w:b/>
          <w:bCs/>
          <w:sz w:val="28"/>
          <w:szCs w:val="28"/>
        </w:rPr>
        <w:t xml:space="preserve"> </w:t>
      </w:r>
      <w:r w:rsidR="00496EA7" w:rsidRPr="00CA1087">
        <w:rPr>
          <w:b/>
          <w:bCs/>
          <w:sz w:val="28"/>
          <w:szCs w:val="28"/>
        </w:rPr>
        <w:t>mapa conceptual</w:t>
      </w:r>
      <w:r w:rsidR="005C4FD0" w:rsidRPr="00CA1087">
        <w:rPr>
          <w:b/>
          <w:bCs/>
          <w:sz w:val="28"/>
          <w:szCs w:val="28"/>
        </w:rPr>
        <w:t xml:space="preserve"> </w:t>
      </w:r>
      <w:r w:rsidR="00E43CD2" w:rsidRPr="00CA1087">
        <w:rPr>
          <w:b/>
          <w:bCs/>
          <w:sz w:val="28"/>
          <w:szCs w:val="28"/>
        </w:rPr>
        <w:t>con el grupo clase con la evaluación en mano</w:t>
      </w:r>
    </w:p>
    <w:p w14:paraId="1E2DC4AD" w14:textId="6A01B229" w:rsidR="00000188" w:rsidRPr="00E43CD2" w:rsidRDefault="00E43CD2" w:rsidP="00E43CD2">
      <w:pPr>
        <w:pStyle w:val="Prrafodelista"/>
        <w:numPr>
          <w:ilvl w:val="0"/>
          <w:numId w:val="11"/>
        </w:numPr>
        <w:rPr>
          <w:sz w:val="24"/>
          <w:szCs w:val="24"/>
        </w:rPr>
      </w:pPr>
      <w:r>
        <w:rPr>
          <w:sz w:val="24"/>
          <w:szCs w:val="24"/>
        </w:rPr>
        <w:t>Palabras claves y comprensión textual</w:t>
      </w:r>
    </w:p>
    <w:p w14:paraId="343BDA4F" w14:textId="77777777" w:rsidR="00496EA7" w:rsidRDefault="00496EA7" w:rsidP="00496EA7">
      <w:pPr>
        <w:ind w:left="720"/>
        <w:jc w:val="center"/>
        <w:rPr>
          <w:b/>
          <w:bCs/>
          <w:sz w:val="28"/>
          <w:szCs w:val="28"/>
          <w:u w:val="single"/>
        </w:rPr>
      </w:pPr>
      <w:r>
        <w:rPr>
          <w:b/>
          <w:bCs/>
          <w:sz w:val="28"/>
          <w:szCs w:val="28"/>
          <w:u w:val="single"/>
        </w:rPr>
        <w:t>La coordinación de la</w:t>
      </w:r>
      <w:r w:rsidRPr="00496EA7">
        <w:rPr>
          <w:b/>
          <w:bCs/>
          <w:sz w:val="28"/>
          <w:szCs w:val="28"/>
          <w:u w:val="single"/>
        </w:rPr>
        <w:t xml:space="preserve"> OEA</w:t>
      </w:r>
      <w:r>
        <w:rPr>
          <w:b/>
          <w:bCs/>
          <w:sz w:val="28"/>
          <w:szCs w:val="28"/>
          <w:u w:val="single"/>
        </w:rPr>
        <w:t>:</w:t>
      </w:r>
      <w:r w:rsidRPr="00496EA7">
        <w:rPr>
          <w:b/>
          <w:bCs/>
          <w:sz w:val="28"/>
          <w:szCs w:val="28"/>
          <w:u w:val="single"/>
        </w:rPr>
        <w:t xml:space="preserve"> sus acciones con el CARICOM o la ONU</w:t>
      </w:r>
    </w:p>
    <w:p w14:paraId="40A1BC05" w14:textId="77777777" w:rsidR="00496EA7" w:rsidRDefault="00496EA7" w:rsidP="00496EA7">
      <w:pPr>
        <w:ind w:firstLine="556"/>
        <w:jc w:val="both"/>
        <w:rPr>
          <w:sz w:val="24"/>
          <w:szCs w:val="24"/>
        </w:rPr>
      </w:pPr>
      <w:r w:rsidRPr="00496EA7">
        <w:rPr>
          <w:sz w:val="24"/>
          <w:szCs w:val="24"/>
        </w:rPr>
        <w:t>La OEA articula sus esfuerzos con CARICOM y la ONU mediante una estrategia de división del trabajo político, técnico y operativo. El principal instrumento institucional para lograrlo es el Mecanismo del Grupo Coordinador (CGM), una estructura tripartita que alinea las agendas de los tres organismos para evitar la duplicación de esfuerzos en el terreno.</w:t>
      </w:r>
      <w:r>
        <w:rPr>
          <w:sz w:val="24"/>
          <w:szCs w:val="24"/>
        </w:rPr>
        <w:t xml:space="preserve"> </w:t>
      </w:r>
      <w:r w:rsidRPr="00496EA7">
        <w:rPr>
          <w:sz w:val="24"/>
          <w:szCs w:val="24"/>
        </w:rPr>
        <w:t>Esta cooperación se despliega a través de tres áreas clave:</w:t>
      </w:r>
    </w:p>
    <w:p w14:paraId="0B2FEA60" w14:textId="77777777" w:rsidR="00496EA7" w:rsidRDefault="00496EA7" w:rsidP="00496EA7">
      <w:pPr>
        <w:ind w:firstLine="556"/>
        <w:jc w:val="both"/>
        <w:rPr>
          <w:sz w:val="24"/>
          <w:szCs w:val="24"/>
        </w:rPr>
      </w:pPr>
      <w:r w:rsidRPr="00496EA7">
        <w:rPr>
          <w:sz w:val="24"/>
          <w:szCs w:val="24"/>
        </w:rPr>
        <w:t xml:space="preserve">1. </w:t>
      </w:r>
      <w:r w:rsidRPr="00496EA7">
        <w:rPr>
          <w:sz w:val="24"/>
          <w:szCs w:val="24"/>
          <w:u w:val="single"/>
        </w:rPr>
        <w:t>El Bloque Político y de Mediación</w:t>
      </w:r>
      <w:r w:rsidRPr="00496EA7">
        <w:rPr>
          <w:sz w:val="24"/>
          <w:szCs w:val="24"/>
        </w:rPr>
        <w:t xml:space="preserve"> (OEA + CARICOM)</w:t>
      </w:r>
      <w:r>
        <w:rPr>
          <w:sz w:val="24"/>
          <w:szCs w:val="24"/>
        </w:rPr>
        <w:t xml:space="preserve"> </w:t>
      </w:r>
      <w:r w:rsidRPr="00496EA7">
        <w:rPr>
          <w:sz w:val="24"/>
          <w:szCs w:val="24"/>
        </w:rPr>
        <w:t>Facilitación del Diálogo: La OEA une fuerzas con el Grupo de Personalidades Eminentes (EPG) de CARICOM para actuar como mediadores conjuntos. Buscan consenso entre los partidos políticos haitianos, el sector empresarial y la sociedad civil.</w:t>
      </w:r>
      <w:r>
        <w:rPr>
          <w:sz w:val="24"/>
          <w:szCs w:val="24"/>
        </w:rPr>
        <w:t xml:space="preserve"> </w:t>
      </w:r>
      <w:r w:rsidRPr="00496EA7">
        <w:rPr>
          <w:sz w:val="24"/>
          <w:szCs w:val="24"/>
        </w:rPr>
        <w:t>Legitimidad de la Transición: Ambas organizaciones presionan diplomáticamente para mantener la estabilidad institucional y el cumplimiento de los acuerdos de transición democrática en Haití.</w:t>
      </w:r>
      <w:r>
        <w:rPr>
          <w:sz w:val="24"/>
          <w:szCs w:val="24"/>
        </w:rPr>
        <w:t xml:space="preserve"> </w:t>
      </w:r>
    </w:p>
    <w:p w14:paraId="364DFBA0" w14:textId="77777777" w:rsidR="00496EA7" w:rsidRDefault="00496EA7" w:rsidP="00496EA7">
      <w:pPr>
        <w:ind w:firstLine="556"/>
        <w:jc w:val="both"/>
        <w:rPr>
          <w:sz w:val="24"/>
          <w:szCs w:val="24"/>
        </w:rPr>
      </w:pPr>
      <w:r w:rsidRPr="00496EA7">
        <w:rPr>
          <w:sz w:val="24"/>
          <w:szCs w:val="24"/>
        </w:rPr>
        <w:t xml:space="preserve">2. </w:t>
      </w:r>
      <w:r w:rsidRPr="00496EA7">
        <w:rPr>
          <w:sz w:val="24"/>
          <w:szCs w:val="24"/>
          <w:u w:val="single"/>
        </w:rPr>
        <w:t>El Frente de Seguridad y Logística</w:t>
      </w:r>
      <w:r w:rsidRPr="00496EA7">
        <w:rPr>
          <w:sz w:val="24"/>
          <w:szCs w:val="24"/>
        </w:rPr>
        <w:t xml:space="preserve"> (OEA + ONU)</w:t>
      </w:r>
      <w:r>
        <w:rPr>
          <w:sz w:val="24"/>
          <w:szCs w:val="24"/>
        </w:rPr>
        <w:t xml:space="preserve"> </w:t>
      </w:r>
      <w:r w:rsidRPr="00496EA7">
        <w:rPr>
          <w:sz w:val="24"/>
          <w:szCs w:val="24"/>
        </w:rPr>
        <w:t>Complementariedad en el Financiamiento: Mientras el Consejo de Seguridad de la ONU autoriza y supervisa las misiones internacionales de seguridad contra las pandillas, la OEA opera la plataforma SECURE-</w:t>
      </w:r>
      <w:proofErr w:type="spellStart"/>
      <w:r w:rsidRPr="00496EA7">
        <w:rPr>
          <w:sz w:val="24"/>
          <w:szCs w:val="24"/>
        </w:rPr>
        <w:t>Haiti</w:t>
      </w:r>
      <w:proofErr w:type="spellEnd"/>
      <w:r w:rsidRPr="00496EA7">
        <w:rPr>
          <w:sz w:val="24"/>
          <w:szCs w:val="24"/>
        </w:rPr>
        <w:t>. Este programa interamericano recauda fondos específicos destinados al equipamiento y profesionalización de la Policía Nacional de Haití (HNP), trabajando en total sintonía con el Fondo Fiduciario de las Naciones Unidas.</w:t>
      </w:r>
      <w:r>
        <w:rPr>
          <w:sz w:val="24"/>
          <w:szCs w:val="24"/>
        </w:rPr>
        <w:t xml:space="preserve"> </w:t>
      </w:r>
      <w:r w:rsidRPr="00496EA7">
        <w:rPr>
          <w:sz w:val="24"/>
          <w:szCs w:val="24"/>
        </w:rPr>
        <w:t>Presencia Institucional Coordinada: La OEA mantiene una Misión Especial en Puerto Príncipe comandada por un Representante Especial. Este liderazgo se comunica de forma constante con la Oficina Integrada de la ONU en Haití (BINUH) para compartir reportes de derechos humanos y análisis de riesgo en las zonas de conflicto.</w:t>
      </w:r>
    </w:p>
    <w:p w14:paraId="3CBA62AC" w14:textId="644B42C9" w:rsidR="00000188" w:rsidRPr="00496EA7" w:rsidRDefault="00496EA7" w:rsidP="00496EA7">
      <w:pPr>
        <w:ind w:firstLine="556"/>
        <w:jc w:val="both"/>
        <w:rPr>
          <w:sz w:val="24"/>
          <w:szCs w:val="24"/>
        </w:rPr>
      </w:pPr>
      <w:r w:rsidRPr="00496EA7">
        <w:rPr>
          <w:sz w:val="24"/>
          <w:szCs w:val="24"/>
          <w:u w:val="single"/>
        </w:rPr>
        <w:t>3. Asistencia Técnica Electoral</w:t>
      </w:r>
      <w:r w:rsidRPr="00496EA7">
        <w:rPr>
          <w:sz w:val="24"/>
          <w:szCs w:val="24"/>
        </w:rPr>
        <w:t xml:space="preserve"> (Tripartita)Planificación del Calendario Electoral: La OEA aporta su experiencia técnica en auditorías de padrones, diseño de software de votación y misiones de observación. Esta labor técnica se acopla directamente al soporte presupuestario y político provisto por las redes </w:t>
      </w:r>
      <w:proofErr w:type="spellStart"/>
      <w:r w:rsidRPr="00496EA7">
        <w:rPr>
          <w:sz w:val="24"/>
          <w:szCs w:val="24"/>
        </w:rPr>
        <w:t>interagenciales</w:t>
      </w:r>
      <w:proofErr w:type="spellEnd"/>
      <w:r w:rsidRPr="00496EA7">
        <w:rPr>
          <w:sz w:val="24"/>
          <w:szCs w:val="24"/>
        </w:rPr>
        <w:t xml:space="preserve"> de la ONU y los estados caribeños para garantizar que las futuras elecciones posean legitimidad internacional.</w:t>
      </w:r>
    </w:p>
    <w:sectPr w:rsidR="00000188" w:rsidRPr="00496EA7" w:rsidSect="00302CC9">
      <w:headerReference w:type="default" r:id="rId7"/>
      <w:pgSz w:w="11906" w:h="16838"/>
      <w:pgMar w:top="1417" w:right="1133"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EDC28" w14:textId="77777777" w:rsidR="00535538" w:rsidRDefault="00535538">
      <w:pPr>
        <w:spacing w:after="0" w:line="240" w:lineRule="auto"/>
      </w:pPr>
      <w:r>
        <w:separator/>
      </w:r>
    </w:p>
  </w:endnote>
  <w:endnote w:type="continuationSeparator" w:id="0">
    <w:p w14:paraId="1A714127" w14:textId="77777777" w:rsidR="00535538" w:rsidRDefault="00535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EF75D7-96D5-4A48-A3C0-19C102EE11CB}"/>
    <w:embedBold r:id="rId2" w:fontKey="{728549C3-AD88-4827-8F6D-DD9765381BCA}"/>
    <w:embedItalic r:id="rId3" w:fontKey="{942DD59C-C763-4B9B-9D25-2C436AF44DD8}"/>
    <w:embedBoldItalic r:id="rId4" w:fontKey="{7F6E66F7-FC20-4E99-9E84-0D2EA35FDD8B}"/>
  </w:font>
  <w:font w:name="Cambria">
    <w:panose1 w:val="02040503050406030204"/>
    <w:charset w:val="00"/>
    <w:family w:val="roman"/>
    <w:pitch w:val="variable"/>
    <w:sig w:usb0="E00006FF" w:usb1="420024FF" w:usb2="02000000" w:usb3="00000000" w:csb0="0000019F" w:csb1="00000000"/>
    <w:embedRegular r:id="rId5" w:fontKey="{618BD811-102F-4933-8476-A324F72061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DBFD3" w14:textId="77777777" w:rsidR="00535538" w:rsidRDefault="00535538">
      <w:pPr>
        <w:spacing w:after="0" w:line="240" w:lineRule="auto"/>
      </w:pPr>
      <w:r>
        <w:separator/>
      </w:r>
    </w:p>
  </w:footnote>
  <w:footnote w:type="continuationSeparator" w:id="0">
    <w:p w14:paraId="3498EB51" w14:textId="77777777" w:rsidR="00535538" w:rsidRDefault="00535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DAE6" w14:textId="77777777" w:rsidR="001F5F8E"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743AFC6" wp14:editId="0ABB1CD2">
          <wp:simplePos x="0" y="0"/>
          <wp:positionH relativeFrom="column">
            <wp:posOffset>-64874</wp:posOffset>
          </wp:positionH>
          <wp:positionV relativeFrom="paragraph">
            <wp:posOffset>-95249</wp:posOffset>
          </wp:positionV>
          <wp:extent cx="1112520" cy="1137285"/>
          <wp:effectExtent l="0" t="0" r="0" b="0"/>
          <wp:wrapNone/>
          <wp:docPr id="449946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474D4841" wp14:editId="7AD9C6A4">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wps:txbx>
                    <wps:bodyPr rot="0" vert="horz" wrap="square" lIns="91440" tIns="45720" rIns="91440" bIns="45720" anchor="t" anchorCtr="0">
                      <a:noAutofit/>
                    </wps:bodyPr>
                  </wps:wsp>
                </a:graphicData>
              </a:graphic>
            </wp:anchor>
          </w:drawing>
        </mc:Choice>
        <mc:Fallback>
          <w:pict>
            <v:shapetype w14:anchorId="474D4841"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v:textbox>
              <w10:wrap type="square"/>
            </v:shape>
          </w:pict>
        </mc:Fallback>
      </mc:AlternateContent>
    </w:r>
  </w:p>
  <w:p w14:paraId="719A7169"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CFDAA6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A7F029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59243A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73A226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1C45AC5F" w14:textId="77777777" w:rsidR="001F5F8E"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DD3"/>
    <w:multiLevelType w:val="hybridMultilevel"/>
    <w:tmpl w:val="EF3EB15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756ED1"/>
    <w:multiLevelType w:val="multilevel"/>
    <w:tmpl w:val="0120A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8D74EE4"/>
    <w:multiLevelType w:val="hybridMultilevel"/>
    <w:tmpl w:val="D7C8C1B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330AB3"/>
    <w:multiLevelType w:val="hybridMultilevel"/>
    <w:tmpl w:val="F88EEBCA"/>
    <w:lvl w:ilvl="0" w:tplc="B2D2936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527764C8"/>
    <w:multiLevelType w:val="hybridMultilevel"/>
    <w:tmpl w:val="1026D94A"/>
    <w:lvl w:ilvl="0" w:tplc="6928C23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577F6A81"/>
    <w:multiLevelType w:val="multilevel"/>
    <w:tmpl w:val="535C6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0D1F45"/>
    <w:multiLevelType w:val="hybridMultilevel"/>
    <w:tmpl w:val="3A24046E"/>
    <w:lvl w:ilvl="0" w:tplc="36A2707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16cid:durableId="1374035963">
    <w:abstractNumId w:val="3"/>
  </w:num>
  <w:num w:numId="2" w16cid:durableId="8454332">
    <w:abstractNumId w:val="9"/>
  </w:num>
  <w:num w:numId="3" w16cid:durableId="1778061560">
    <w:abstractNumId w:val="5"/>
  </w:num>
  <w:num w:numId="4" w16cid:durableId="1723095529">
    <w:abstractNumId w:val="2"/>
  </w:num>
  <w:num w:numId="5" w16cid:durableId="1944653876">
    <w:abstractNumId w:val="1"/>
  </w:num>
  <w:num w:numId="6" w16cid:durableId="452670287">
    <w:abstractNumId w:val="6"/>
  </w:num>
  <w:num w:numId="7" w16cid:durableId="1657029246">
    <w:abstractNumId w:val="10"/>
  </w:num>
  <w:num w:numId="8" w16cid:durableId="973800100">
    <w:abstractNumId w:val="4"/>
  </w:num>
  <w:num w:numId="9" w16cid:durableId="1670133538">
    <w:abstractNumId w:val="7"/>
  </w:num>
  <w:num w:numId="10" w16cid:durableId="1023289519">
    <w:abstractNumId w:val="0"/>
  </w:num>
  <w:num w:numId="11" w16cid:durableId="18330587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F8E"/>
    <w:rsid w:val="00000188"/>
    <w:rsid w:val="00084371"/>
    <w:rsid w:val="000C7CB8"/>
    <w:rsid w:val="000F2C8F"/>
    <w:rsid w:val="001724A6"/>
    <w:rsid w:val="001776CE"/>
    <w:rsid w:val="001A75A1"/>
    <w:rsid w:val="001F5F8E"/>
    <w:rsid w:val="002671F2"/>
    <w:rsid w:val="002B39F9"/>
    <w:rsid w:val="00302CC9"/>
    <w:rsid w:val="0032397A"/>
    <w:rsid w:val="00384043"/>
    <w:rsid w:val="003B2FEB"/>
    <w:rsid w:val="003E42B0"/>
    <w:rsid w:val="00496EA7"/>
    <w:rsid w:val="004C684C"/>
    <w:rsid w:val="005209B2"/>
    <w:rsid w:val="0052452B"/>
    <w:rsid w:val="00535538"/>
    <w:rsid w:val="005547C6"/>
    <w:rsid w:val="005B1830"/>
    <w:rsid w:val="005C4FD0"/>
    <w:rsid w:val="005D0990"/>
    <w:rsid w:val="005D696B"/>
    <w:rsid w:val="00615158"/>
    <w:rsid w:val="00624760"/>
    <w:rsid w:val="00670169"/>
    <w:rsid w:val="006B51D7"/>
    <w:rsid w:val="00716CE2"/>
    <w:rsid w:val="00744683"/>
    <w:rsid w:val="007B61CB"/>
    <w:rsid w:val="007C1316"/>
    <w:rsid w:val="007E66DA"/>
    <w:rsid w:val="0084336C"/>
    <w:rsid w:val="00921865"/>
    <w:rsid w:val="009237AC"/>
    <w:rsid w:val="00931A1C"/>
    <w:rsid w:val="009406F0"/>
    <w:rsid w:val="00956F29"/>
    <w:rsid w:val="009D03E5"/>
    <w:rsid w:val="00A229A7"/>
    <w:rsid w:val="00A62A2C"/>
    <w:rsid w:val="00A92504"/>
    <w:rsid w:val="00AD7030"/>
    <w:rsid w:val="00B2036E"/>
    <w:rsid w:val="00C4719F"/>
    <w:rsid w:val="00C626AC"/>
    <w:rsid w:val="00C65D46"/>
    <w:rsid w:val="00C9590A"/>
    <w:rsid w:val="00CA1087"/>
    <w:rsid w:val="00CC0B45"/>
    <w:rsid w:val="00D00458"/>
    <w:rsid w:val="00D4140F"/>
    <w:rsid w:val="00E15093"/>
    <w:rsid w:val="00E3193A"/>
    <w:rsid w:val="00E43CD2"/>
    <w:rsid w:val="00E570F1"/>
    <w:rsid w:val="00F0696A"/>
    <w:rsid w:val="00F633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FE16"/>
  <w15:docId w15:val="{53AEB9F6-F24E-45FE-BAF1-6E1A97A2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NormalWeb">
    <w:name w:val="Normal (Web)"/>
    <w:basedOn w:val="Normal"/>
    <w:uiPriority w:val="99"/>
    <w:unhideWhenUsed/>
    <w:rsid w:val="0067016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E31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385</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24</cp:revision>
  <dcterms:created xsi:type="dcterms:W3CDTF">2026-03-11T11:22:00Z</dcterms:created>
  <dcterms:modified xsi:type="dcterms:W3CDTF">2026-05-27T00:12:00Z</dcterms:modified>
</cp:coreProperties>
</file>