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93F9C">
        <w:rPr>
          <w:sz w:val="24"/>
          <w:szCs w:val="20"/>
        </w:rPr>
        <w:t>0</w:t>
      </w:r>
      <w:r w:rsidR="006A46D1">
        <w:rPr>
          <w:sz w:val="24"/>
          <w:szCs w:val="20"/>
        </w:rPr>
        <w:t>7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A46D1">
        <w:rPr>
          <w:b/>
          <w:color w:val="000000" w:themeColor="text1"/>
          <w:sz w:val="32"/>
          <w:szCs w:val="24"/>
        </w:rPr>
        <w:t>26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107C00">
        <w:rPr>
          <w:b/>
          <w:color w:val="000000" w:themeColor="text1"/>
          <w:sz w:val="32"/>
          <w:szCs w:val="24"/>
        </w:rPr>
        <w:t>repaso para la evaluación”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107C00" w:rsidRPr="00107C00" w:rsidRDefault="00107C00" w:rsidP="00107C00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dictado de temas para la </w:t>
      </w:r>
      <w:r w:rsidR="00D47D09">
        <w:rPr>
          <w:bCs/>
          <w:color w:val="000000" w:themeColor="text1"/>
          <w:sz w:val="24"/>
          <w:szCs w:val="24"/>
        </w:rPr>
        <w:t>evaluación</w:t>
      </w:r>
      <w:bookmarkStart w:id="0" w:name="_GoBack"/>
      <w:bookmarkEnd w:id="0"/>
    </w:p>
    <w:p w:rsidR="006A46D1" w:rsidRPr="00107C00" w:rsidRDefault="006A46D1" w:rsidP="00107C00">
      <w:p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 xml:space="preserve">Temas para la evaluación: </w:t>
      </w:r>
    </w:p>
    <w:p w:rsidR="003E6BDB" w:rsidRPr="00107C00" w:rsidRDefault="00107C00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Lenguaje</w:t>
      </w:r>
      <w:r w:rsidR="003E6BDB" w:rsidRPr="00107C00">
        <w:rPr>
          <w:color w:val="000000" w:themeColor="text1"/>
          <w:sz w:val="24"/>
          <w:szCs w:val="24"/>
        </w:rPr>
        <w:t>: innato o adquirido.</w:t>
      </w:r>
    </w:p>
    <w:p w:rsidR="003E6BDB" w:rsidRPr="00107C00" w:rsidRDefault="003E6BDB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Diferencias entre la lengua y el habla</w:t>
      </w:r>
    </w:p>
    <w:p w:rsidR="003E6BDB" w:rsidRPr="00107C00" w:rsidRDefault="003E6BDB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La comunicación como sistema</w:t>
      </w:r>
    </w:p>
    <w:p w:rsidR="003E6BDB" w:rsidRPr="00107C00" w:rsidRDefault="003E6BDB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Signo: icono, índice, símbolo</w:t>
      </w:r>
    </w:p>
    <w:p w:rsidR="003E6BDB" w:rsidRPr="00107C00" w:rsidRDefault="003E6BDB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 xml:space="preserve">Comunicación </w:t>
      </w:r>
      <w:r w:rsidR="00107C00" w:rsidRPr="00107C00">
        <w:rPr>
          <w:color w:val="000000" w:themeColor="text1"/>
          <w:sz w:val="24"/>
          <w:szCs w:val="24"/>
        </w:rPr>
        <w:t>oral,</w:t>
      </w:r>
      <w:r w:rsidRPr="00107C00">
        <w:rPr>
          <w:color w:val="000000" w:themeColor="text1"/>
          <w:sz w:val="24"/>
          <w:szCs w:val="24"/>
        </w:rPr>
        <w:t xml:space="preserve"> escrita, gestual, </w:t>
      </w:r>
      <w:r w:rsidR="00107C00" w:rsidRPr="00107C00">
        <w:rPr>
          <w:color w:val="000000" w:themeColor="text1"/>
          <w:sz w:val="24"/>
          <w:szCs w:val="24"/>
        </w:rPr>
        <w:t>icónica</w:t>
      </w:r>
      <w:r w:rsidRPr="00107C00">
        <w:rPr>
          <w:color w:val="000000" w:themeColor="text1"/>
          <w:sz w:val="24"/>
          <w:szCs w:val="24"/>
        </w:rPr>
        <w:t>.</w:t>
      </w:r>
    </w:p>
    <w:p w:rsidR="003E6BDB" w:rsidRPr="00107C00" w:rsidRDefault="00107C00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Cultura: los grandes grupos</w:t>
      </w:r>
    </w:p>
    <w:p w:rsidR="00107C00" w:rsidRPr="00107C00" w:rsidRDefault="00107C00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Políticas culturales</w:t>
      </w:r>
    </w:p>
    <w:p w:rsidR="00107C00" w:rsidRPr="00107C00" w:rsidRDefault="00107C00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proofErr w:type="spellStart"/>
      <w:r w:rsidRPr="00107C00">
        <w:rPr>
          <w:color w:val="000000" w:themeColor="text1"/>
          <w:sz w:val="24"/>
          <w:szCs w:val="24"/>
        </w:rPr>
        <w:t>Historizar</w:t>
      </w:r>
      <w:proofErr w:type="spellEnd"/>
      <w:r w:rsidRPr="00107C00">
        <w:rPr>
          <w:color w:val="000000" w:themeColor="text1"/>
          <w:sz w:val="24"/>
          <w:szCs w:val="24"/>
        </w:rPr>
        <w:t xml:space="preserve"> la cultura y la comunicación: hegemonía, </w:t>
      </w:r>
      <w:proofErr w:type="spellStart"/>
      <w:r w:rsidRPr="00107C00">
        <w:rPr>
          <w:color w:val="000000" w:themeColor="text1"/>
          <w:sz w:val="24"/>
          <w:szCs w:val="24"/>
        </w:rPr>
        <w:t>subalternidad</w:t>
      </w:r>
      <w:proofErr w:type="spellEnd"/>
      <w:r w:rsidRPr="00107C00">
        <w:rPr>
          <w:color w:val="000000" w:themeColor="text1"/>
          <w:sz w:val="24"/>
          <w:szCs w:val="24"/>
        </w:rPr>
        <w:t xml:space="preserve">, </w:t>
      </w:r>
      <w:proofErr w:type="spellStart"/>
      <w:r w:rsidRPr="00107C00">
        <w:rPr>
          <w:color w:val="000000" w:themeColor="text1"/>
          <w:sz w:val="24"/>
          <w:szCs w:val="24"/>
        </w:rPr>
        <w:t>contrahegemonia</w:t>
      </w:r>
      <w:proofErr w:type="spellEnd"/>
      <w:r w:rsidRPr="00107C00">
        <w:rPr>
          <w:color w:val="000000" w:themeColor="text1"/>
          <w:sz w:val="24"/>
          <w:szCs w:val="24"/>
        </w:rPr>
        <w:t>.</w:t>
      </w:r>
    </w:p>
    <w:p w:rsidR="00107C00" w:rsidRDefault="00107C00" w:rsidP="003E6BDB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Circuitos culturales.</w:t>
      </w:r>
    </w:p>
    <w:p w:rsidR="00107C00" w:rsidRPr="00107C00" w:rsidRDefault="00107C00" w:rsidP="00107C00">
      <w:pPr>
        <w:pStyle w:val="Prrafodelista"/>
        <w:spacing w:after="0"/>
        <w:divId w:val="286549484"/>
        <w:rPr>
          <w:color w:val="000000" w:themeColor="text1"/>
          <w:sz w:val="24"/>
          <w:szCs w:val="24"/>
        </w:rPr>
      </w:pP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107C00">
        <w:rPr>
          <w:bCs/>
          <w:color w:val="000000" w:themeColor="text1"/>
          <w:sz w:val="24"/>
          <w:szCs w:val="24"/>
        </w:rPr>
        <w:t>7 a la 14.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EA53FE" w:rsidRDefault="00107C00" w:rsidP="00EA53F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Establece las principales diferencias entre los siguientes conceptos:</w:t>
      </w:r>
    </w:p>
    <w:p w:rsidR="00107C00" w:rsidRDefault="00107C00" w:rsidP="00107C00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Lenguaje innato y adquirido.</w:t>
      </w:r>
    </w:p>
    <w:p w:rsidR="00107C00" w:rsidRDefault="00107C00" w:rsidP="00107C00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Lengua y habla.</w:t>
      </w:r>
    </w:p>
    <w:p w:rsidR="00107C00" w:rsidRDefault="00107C00" w:rsidP="00107C00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Icono, Índice, símbolo.</w:t>
      </w:r>
    </w:p>
    <w:p w:rsidR="00107C00" w:rsidRDefault="00107C00" w:rsidP="00107C00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Comunicación oral, escrita, gestual e icónica.</w:t>
      </w:r>
    </w:p>
    <w:p w:rsidR="00107C00" w:rsidRPr="00107C00" w:rsidRDefault="00107C00" w:rsidP="00107C00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Escribe ejemplo de cada uno de los conceptos anteriores.</w:t>
      </w:r>
    </w:p>
    <w:sectPr w:rsidR="00107C00" w:rsidRPr="00107C0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70" w:rsidRDefault="00940770" w:rsidP="003C0D6D">
      <w:pPr>
        <w:spacing w:after="0" w:line="240" w:lineRule="auto"/>
      </w:pPr>
      <w:r>
        <w:separator/>
      </w:r>
    </w:p>
  </w:endnote>
  <w:endnote w:type="continuationSeparator" w:id="0">
    <w:p w:rsidR="00940770" w:rsidRDefault="00940770" w:rsidP="003C0D6D">
      <w:pPr>
        <w:spacing w:after="0" w:line="240" w:lineRule="auto"/>
      </w:pPr>
      <w:r>
        <w:continuationSeparator/>
      </w:r>
    </w:p>
  </w:endnote>
  <w:endnote w:type="continuationNotice" w:id="1">
    <w:p w:rsidR="00940770" w:rsidRDefault="00940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70" w:rsidRDefault="00940770" w:rsidP="003C0D6D">
      <w:pPr>
        <w:spacing w:after="0" w:line="240" w:lineRule="auto"/>
      </w:pPr>
      <w:r>
        <w:separator/>
      </w:r>
    </w:p>
  </w:footnote>
  <w:footnote w:type="continuationSeparator" w:id="0">
    <w:p w:rsidR="00940770" w:rsidRDefault="00940770" w:rsidP="003C0D6D">
      <w:pPr>
        <w:spacing w:after="0" w:line="240" w:lineRule="auto"/>
      </w:pPr>
      <w:r>
        <w:continuationSeparator/>
      </w:r>
    </w:p>
  </w:footnote>
  <w:footnote w:type="continuationNotice" w:id="1">
    <w:p w:rsidR="00940770" w:rsidRDefault="00940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660D009" wp14:editId="3B19B40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1D14D6" wp14:editId="4AB545D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9.2pt;height:9.2pt" o:bullet="t">
        <v:imagedata r:id="rId1" o:title="BD14794_"/>
      </v:shape>
    </w:pict>
  </w:numPicBullet>
  <w:numPicBullet w:numPicBulletId="1">
    <w:pict>
      <v:shape id="_x0000_i1127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13"/>
  </w:num>
  <w:num w:numId="12">
    <w:abstractNumId w:val="9"/>
  </w:num>
  <w:num w:numId="13">
    <w:abstractNumId w:val="12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1279-58F9-45EF-BC8F-57D55CAB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2026-05-03T19:49:00Z</dcterms:created>
  <dcterms:modified xsi:type="dcterms:W3CDTF">2026-05-03T19:49:00Z</dcterms:modified>
</cp:coreProperties>
</file>