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227EF5">
        <w:rPr>
          <w:sz w:val="24"/>
          <w:szCs w:val="20"/>
        </w:rPr>
        <w:t>: 21</w:t>
      </w:r>
      <w:bookmarkStart w:id="0" w:name="_GoBack"/>
      <w:bookmarkEnd w:id="0"/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227EF5">
        <w:rPr>
          <w:b/>
          <w:color w:val="000000" w:themeColor="text1"/>
          <w:sz w:val="32"/>
          <w:szCs w:val="24"/>
        </w:rPr>
        <w:t>13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  <w:r w:rsidR="00227EF5">
        <w:rPr>
          <w:b/>
          <w:color w:val="000000" w:themeColor="text1"/>
          <w:sz w:val="32"/>
          <w:szCs w:val="24"/>
        </w:rPr>
        <w:t>- EL cuadro sinóptico y el cuadro comparativo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227EF5">
        <w:rPr>
          <w:bCs/>
          <w:color w:val="000000" w:themeColor="text1"/>
          <w:sz w:val="24"/>
          <w:szCs w:val="24"/>
        </w:rPr>
        <w:t>explicación de técnicas de estudio y diferencias de cada una, en forma oral.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27EF5">
        <w:rPr>
          <w:bCs/>
          <w:color w:val="000000" w:themeColor="text1"/>
          <w:sz w:val="24"/>
          <w:szCs w:val="24"/>
        </w:rPr>
        <w:t>lectura de las páginas 19 a 22</w:t>
      </w:r>
    </w:p>
    <w:p w:rsidR="00227EF5" w:rsidRPr="00227EF5" w:rsidRDefault="00480415" w:rsidP="00227EF5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aplicación de técnicas de estudio</w:t>
      </w:r>
    </w:p>
    <w:p w:rsidR="00227EF5" w:rsidRPr="00227EF5" w:rsidRDefault="00227EF5" w:rsidP="00227EF5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Century Gothic" w:hAnsi="Century Gothic"/>
          <w:sz w:val="24"/>
          <w:szCs w:val="24"/>
        </w:rPr>
      </w:pPr>
      <w:r w:rsidRPr="00227EF5">
        <w:rPr>
          <w:rFonts w:ascii="Century Gothic" w:hAnsi="Century Gothic"/>
          <w:color w:val="FF0000"/>
          <w:sz w:val="24"/>
          <w:szCs w:val="24"/>
        </w:rPr>
        <w:t xml:space="preserve">Actividad: </w:t>
      </w:r>
      <w:r w:rsidRPr="00227EF5">
        <w:rPr>
          <w:rFonts w:ascii="Century Gothic" w:hAnsi="Century Gothic"/>
          <w:sz w:val="24"/>
          <w:szCs w:val="24"/>
        </w:rPr>
        <w:t xml:space="preserve"> elabore un cuadro sinóptico en base al siguiente texto:</w:t>
      </w:r>
    </w:p>
    <w:p w:rsidR="00227EF5" w:rsidRPr="00227EF5" w:rsidRDefault="00227EF5" w:rsidP="00227EF5">
      <w:pPr>
        <w:pStyle w:val="Prrafodelista"/>
        <w:jc w:val="both"/>
        <w:rPr>
          <w:rFonts w:ascii="Century Gothic" w:hAnsi="Century Gothic"/>
          <w:sz w:val="24"/>
          <w:szCs w:val="24"/>
        </w:rPr>
      </w:pPr>
      <w:r w:rsidRPr="00227EF5">
        <w:rPr>
          <w:rFonts w:ascii="Century Gothic" w:hAnsi="Century Gothic"/>
          <w:color w:val="FF0000"/>
          <w:sz w:val="24"/>
          <w:szCs w:val="24"/>
        </w:rPr>
        <w:t>“La crítica de Martín Fierro”</w:t>
      </w:r>
    </w:p>
    <w:p w:rsidR="00227EF5" w:rsidRPr="00227EF5" w:rsidRDefault="00227EF5" w:rsidP="00227EF5">
      <w:pPr>
        <w:pStyle w:val="Prrafodelista"/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>A principios de este siglo, podemos decir que se inaugura la “crítica filológica” de Martín Fierro de José Hernández, con las primeras ed</w:t>
      </w:r>
      <w:r w:rsidRPr="00227EF5">
        <w:rPr>
          <w:rFonts w:ascii="Century Gothic" w:hAnsi="Century Gothic"/>
          <w:i/>
          <w:sz w:val="24"/>
          <w:szCs w:val="24"/>
        </w:rPr>
        <w:t>i</w:t>
      </w:r>
      <w:r w:rsidRPr="00227EF5">
        <w:rPr>
          <w:rFonts w:ascii="Century Gothic" w:hAnsi="Century Gothic"/>
          <w:i/>
          <w:sz w:val="24"/>
          <w:szCs w:val="24"/>
        </w:rPr>
        <w:t xml:space="preserve">ciones prolongadas: en 1909 la de Carlos Octavio Bunge con un  prólogo crítico; en 1919, la de Ricardo Rojas también con prefacio y en 1925 la de Eleuterio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Tiscornia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, primera edición anotada. A partir de 1940, las propuestas interpretativas se diversifican: el poema es leído como ensayo acerca del ser nacional (Carlos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Astrada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), como una obra de contenido principalmente religioso (Carlos Alberto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Leuman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>) o también analizado desde sus posibilidades, psicológicas y psicoanalíticas o desde una perspectiva histórico social (Ezequiel Martínez Estrada).</w:t>
      </w:r>
    </w:p>
    <w:p w:rsidR="00227EF5" w:rsidRPr="00227EF5" w:rsidRDefault="00227EF5" w:rsidP="00CE2BEC">
      <w:pPr>
        <w:rPr>
          <w:bCs/>
          <w:color w:val="000000" w:themeColor="text1"/>
          <w:sz w:val="24"/>
          <w:szCs w:val="24"/>
          <w:u w:val="single"/>
        </w:rPr>
      </w:pPr>
    </w:p>
    <w:p w:rsidR="00227EF5" w:rsidRPr="00227EF5" w:rsidRDefault="00227EF5" w:rsidP="00227EF5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Century Gothic" w:hAnsi="Century Gothic"/>
          <w:b/>
          <w:color w:val="FF0000"/>
          <w:sz w:val="24"/>
          <w:szCs w:val="24"/>
        </w:rPr>
      </w:pPr>
      <w:r w:rsidRPr="00227EF5">
        <w:rPr>
          <w:rFonts w:ascii="Century Gothic" w:hAnsi="Century Gothic"/>
          <w:b/>
          <w:color w:val="FF0000"/>
          <w:sz w:val="24"/>
          <w:szCs w:val="24"/>
        </w:rPr>
        <w:t xml:space="preserve">Actividad: </w:t>
      </w:r>
      <w:r w:rsidRPr="00227EF5">
        <w:rPr>
          <w:rFonts w:ascii="Century Gothic" w:hAnsi="Century Gothic"/>
          <w:sz w:val="24"/>
          <w:szCs w:val="24"/>
        </w:rPr>
        <w:t>lean el siguiente texto y luego elaboren un cuadro comparativo con la información allí contenida</w:t>
      </w:r>
      <w:r w:rsidRPr="00227EF5">
        <w:rPr>
          <w:rFonts w:ascii="Century Gothic" w:hAnsi="Century Gothic"/>
          <w:b/>
          <w:sz w:val="24"/>
          <w:szCs w:val="24"/>
        </w:rPr>
        <w:t>.</w:t>
      </w:r>
    </w:p>
    <w:p w:rsidR="00227EF5" w:rsidRPr="00227EF5" w:rsidRDefault="00227EF5" w:rsidP="00227EF5">
      <w:pPr>
        <w:pStyle w:val="Prrafodelista"/>
        <w:jc w:val="both"/>
        <w:rPr>
          <w:rFonts w:ascii="Century Gothic" w:hAnsi="Century Gothic"/>
          <w:i/>
          <w:sz w:val="24"/>
          <w:szCs w:val="24"/>
        </w:rPr>
      </w:pP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>“La literatura popular abarca una amplia variedad de géneros. Si bien cada uno de ellos tiene sus propias características, hay varias básicas y compartidas, la fundamental de las cuales es que llegan a un público amplio y variado.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El género policial proviene de la llamada novela de sensaciones del siglo XIX, un tipo de ficción en la que abundan los sucesos sorprendentes y los secretos culpables, fue una precursora clave de la actual novela de detectives. Su máximo representante fue el inglés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Wilkie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Collins (1824-1889), cuyas novelas de misterio y suspense se caracterizaban por lo ingenioso de </w:t>
      </w:r>
      <w:r w:rsidRPr="00227EF5">
        <w:rPr>
          <w:rFonts w:ascii="Century Gothic" w:hAnsi="Century Gothic"/>
          <w:i/>
          <w:sz w:val="24"/>
          <w:szCs w:val="24"/>
        </w:rPr>
        <w:lastRenderedPageBreak/>
        <w:t>la trama y la minuciosidad de los detalles descriptivos. En La piedra lunar (1868), Collins escribió lo que muchos consideran la primera novela de detectives en inglés.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Los cuentos sobrenaturales abundan en la literatura popular, pero hasta la aparición de la novela gótica, en la segunda mitad del siglo XVIII, no se le dio expresión literaria a la creación de temor y curiosidad. Las novelas góticas, con sus paisajes atmosféricos, poblados de heroínas aterrorizadas y monjes siniestros, fueron las precursoras de los actuales cuentos de horror y de fantasmas. Durante la época romántica, el género gótico evolucionó y su credibilidad literaria fue en aumento gracias a Edgar Allan Poe en Estados Unidos y a E.T.A.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Hoffmann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en Alemania.</w:t>
      </w:r>
      <w:r w:rsidRPr="00227EF5">
        <w:rPr>
          <w:rFonts w:ascii="Century Gothic" w:hAnsi="Century Gothic"/>
          <w:sz w:val="24"/>
          <w:szCs w:val="24"/>
        </w:rPr>
        <w:t xml:space="preserve"> </w:t>
      </w:r>
      <w:r w:rsidRPr="00227EF5">
        <w:rPr>
          <w:rFonts w:ascii="Century Gothic" w:hAnsi="Century Gothic"/>
          <w:i/>
          <w:sz w:val="24"/>
          <w:szCs w:val="24"/>
        </w:rPr>
        <w:t xml:space="preserve">Las historias de vampiros, junto con relatos de adoración al diablo y lo oculto, son habituales en la producción de los recientes autores de la ficción popular de horror, entre los que destacan Dennis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Wheatley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en Gran Bretaña y Stephen King en Estados Unidos.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La ciencia ficción Tiene una famosa precursora en el siglo XIX: El doctor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Frankestein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de Mary Shelley, un cuento con influencias góticas, acerca de la experimentación científica. Pero el género de la ciencia ficción, tal como lo conocemos en la actualidad, no comenzó a surgir hasta fines del siglo XIX en las novelas científicas del francés Jules Verne y en las del inglés H.G. Wells. Estas introdujeron los temas que predominarían en ciencia ficción en años venideros: viajes en el tiempo en La máquina del tiempo (1895), invasiones del espacio exterior en La guerra de los mundos (1898) y experimentos quirúrgicos en La isla del doctor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Moreau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(1898).</w:t>
      </w:r>
    </w:p>
    <w:p w:rsidR="00227EF5" w:rsidRPr="00227EF5" w:rsidRDefault="00227EF5" w:rsidP="00227EF5">
      <w:pPr>
        <w:jc w:val="both"/>
        <w:rPr>
          <w:rFonts w:ascii="Century Gothic" w:eastAsia="Calibri" w:hAnsi="Century Gothic" w:cs="Times New Roman"/>
          <w:b/>
          <w:color w:val="538135" w:themeColor="accent6" w:themeShade="BF"/>
          <w:sz w:val="24"/>
          <w:szCs w:val="24"/>
        </w:rPr>
      </w:pPr>
    </w:p>
    <w:p w:rsidR="00227EF5" w:rsidRPr="00227EF5" w:rsidRDefault="00227EF5" w:rsidP="00CE2BEC">
      <w:pPr>
        <w:rPr>
          <w:bCs/>
          <w:color w:val="000000" w:themeColor="text1"/>
          <w:sz w:val="24"/>
          <w:szCs w:val="24"/>
          <w:u w:val="single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66" w:rsidRDefault="00257C66" w:rsidP="003C0D6D">
      <w:pPr>
        <w:spacing w:after="0" w:line="240" w:lineRule="auto"/>
      </w:pPr>
      <w:r>
        <w:separator/>
      </w:r>
    </w:p>
  </w:endnote>
  <w:endnote w:type="continuationSeparator" w:id="0">
    <w:p w:rsidR="00257C66" w:rsidRDefault="00257C66" w:rsidP="003C0D6D">
      <w:pPr>
        <w:spacing w:after="0" w:line="240" w:lineRule="auto"/>
      </w:pPr>
      <w:r>
        <w:continuationSeparator/>
      </w:r>
    </w:p>
  </w:endnote>
  <w:endnote w:type="continuationNotice" w:id="1">
    <w:p w:rsidR="00257C66" w:rsidRDefault="00257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66" w:rsidRDefault="00257C66" w:rsidP="003C0D6D">
      <w:pPr>
        <w:spacing w:after="0" w:line="240" w:lineRule="auto"/>
      </w:pPr>
      <w:r>
        <w:separator/>
      </w:r>
    </w:p>
  </w:footnote>
  <w:footnote w:type="continuationSeparator" w:id="0">
    <w:p w:rsidR="00257C66" w:rsidRDefault="00257C66" w:rsidP="003C0D6D">
      <w:pPr>
        <w:spacing w:after="0" w:line="240" w:lineRule="auto"/>
      </w:pPr>
      <w:r>
        <w:continuationSeparator/>
      </w:r>
    </w:p>
  </w:footnote>
  <w:footnote w:type="continuationNotice" w:id="1">
    <w:p w:rsidR="00257C66" w:rsidRDefault="00257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clip_image001"/>
      </v:shape>
    </w:pict>
  </w:numPicBullet>
  <w:numPicBullet w:numPicBulletId="1">
    <w:pict>
      <v:shape id="_x0000_i1062" type="#_x0000_t75" style="width:9.75pt;height:9.75pt" o:bullet="t">
        <v:imagedata r:id="rId2" o:title="BD21298_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5224-78CB-430C-B45B-FE12A313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2026-04-19T00:22:00Z</dcterms:created>
  <dcterms:modified xsi:type="dcterms:W3CDTF">2026-04-19T00:22:00Z</dcterms:modified>
</cp:coreProperties>
</file>