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N°6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Enfermedades transmisibles y no transmisibles </w:t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Lectura de la pág 30 del libro. Marcar ideas principales.</w:t>
      </w:r>
    </w:p>
    <w:p w:rsidR="00000000" w:rsidDel="00000000" w:rsidP="00000000" w:rsidRDefault="00000000" w:rsidRPr="00000000" w14:paraId="00000008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realizará en la pizarra un mapa conceptual con las enfermedades de etiología multifactorial y se dará una breve explicación. </w:t>
      </w:r>
    </w:p>
    <w:p w:rsidR="00000000" w:rsidDel="00000000" w:rsidP="00000000" w:rsidRDefault="00000000" w:rsidRPr="00000000" w14:paraId="00000009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elabora un cuadro comparativo entre las enfermedades transmisibles y las no transmisibles. </w:t>
      </w:r>
    </w:p>
    <w:p w:rsidR="00000000" w:rsidDel="00000000" w:rsidP="00000000" w:rsidRDefault="00000000" w:rsidRPr="00000000" w14:paraId="0000000A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¿cuáles son las formas de propagación de las enfermedades infecciosas? </w:t>
      </w:r>
    </w:p>
    <w:p w:rsidR="00000000" w:rsidDel="00000000" w:rsidP="00000000" w:rsidRDefault="00000000" w:rsidRPr="00000000" w14:paraId="0000000B">
      <w:pPr>
        <w:spacing w:after="480" w:before="48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Prevención de Enfermedades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las páginas 33 y 34. Marcar ideas principales </w:t>
      </w:r>
    </w:p>
    <w:p w:rsidR="00000000" w:rsidDel="00000000" w:rsidP="00000000" w:rsidRDefault="00000000" w:rsidRPr="00000000" w14:paraId="0000000D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resolver las actividades de la página 33.</w:t>
      </w:r>
    </w:p>
    <w:p w:rsidR="00000000" w:rsidDel="00000000" w:rsidP="00000000" w:rsidRDefault="00000000" w:rsidRPr="00000000" w14:paraId="0000000E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elaborar un mapa conceptual con los niveles de prevención dé salud. 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4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31"/>
        </w:tabs>
        <w:spacing w:line="278.0000000000000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0wG1TwZ6gd6r5HLJtkNeXqLeA==">CgMxLjA4AHIhMTVjUXg3elJsSUxkYjVmUl9uZG5jeFVTTDBJZkdMMEpH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