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22/4/26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14(1er trimestre)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"Los primeros Americanos- Arqueólogos o detectives "(pág. 56 y 57)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Inicio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: ¿Qué sabemos sobre los primeros habitantes de América? ¿Cómo llegaron?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 Define el tema y su importancia.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3. Teorías del poblamiento-  la teoría de Bering, otras teorías.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 Culturas precolombinas: :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 xml:space="preserve"> - Mayas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Aztecas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Incas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- Otras culturas (Olmecas, etc.)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2. Características: Economía, sociedad, religión, arte.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Cierre </w:t>
      </w:r>
    </w:p>
    <w:p>
      <w:pPr>
        <w:pStyle w:val="style0"/>
        <w:spacing w:after="0"/>
        <w:jc w:val="center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1.El impacto de estas culturas en la actualidad.</w:t>
      </w:r>
    </w:p>
    <w:p>
      <w:pPr>
        <w:pStyle w:val="style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  <w:lang w:val="en-US"/>
        </w:rPr>
        <w:t>2. Resolver actividades pág. 56 y 57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125</Words>
  <Pages>1</Pages>
  <Characters>691</Characters>
  <Application>WPS Office</Application>
  <DocSecurity>0</DocSecurity>
  <Paragraphs>46</Paragraphs>
  <ScaleCrop>false</ScaleCrop>
  <Company>Luffi</Company>
  <LinksUpToDate>false</LinksUpToDate>
  <CharactersWithSpaces>798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2026-04-21T17:24:01Z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