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Biografía: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 6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“La función de nutrición”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Explicación del concepto de nutrición y de los procesos que se llevan a cabo.</w:t>
      </w:r>
    </w:p>
    <w:p w:rsidR="00000000" w:rsidDel="00000000" w:rsidP="00000000" w:rsidRDefault="00000000" w:rsidRPr="00000000" w14:paraId="0000000A">
      <w:pPr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 página 28, resaltar las ideas principales y secundarias.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¿Cómo incorporan los nutrientes los animales?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108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Completar el siguiente cuadro: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Animales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Obtención de alimentos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  <w:rtl w:val="0"/>
              </w:rPr>
              <w:t xml:space="preserve">PECES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  <w:rtl w:val="0"/>
              </w:rPr>
              <w:t xml:space="preserve">INSECTOS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  <w:rtl w:val="0"/>
              </w:rPr>
              <w:t xml:space="preserve">AVES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472c4"/>
                <w:sz w:val="18"/>
                <w:szCs w:val="18"/>
                <w:rtl w:val="0"/>
              </w:rPr>
              <w:t xml:space="preserve">MAMIFEROS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310.79999999999995" w:lineRule="auto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Tarea para la casa: “La Nutrición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 página 29. Resaltar ideas principales y secundarias del texto.</w:t>
      </w:r>
    </w:p>
    <w:p w:rsidR="00000000" w:rsidDel="00000000" w:rsidP="00000000" w:rsidRDefault="00000000" w:rsidRPr="00000000" w14:paraId="0000001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Realizar las actividades propuestas en la página 29.</w:t>
      </w:r>
    </w:p>
    <w:p w:rsidR="00000000" w:rsidDel="00000000" w:rsidP="00000000" w:rsidRDefault="00000000" w:rsidRPr="00000000" w14:paraId="0000001D">
      <w:pPr>
        <w:spacing w:after="120" w:line="310.79999999999995" w:lineRule="auto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fQAUq8e1YAkpShn2XriCatB/A==">CgMxLjA4AHIhMXQwelN2Z0wtREx1cWxySG1NZkpTRGFzTjAyQnY1bkU4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2023-03-05T14:03:00Z</dcterms:created>
  <dc:creator>Dip, Augusto Armando</dc:creator>
</cp:coreProperties>
</file>