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A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Sociología. Editorial Alianza.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25, 26, y 27.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TP7: La sociología clásica de Durkheim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Recuperamos saberes previos de la clase anterior con preguntas disparadoras: ¿Según Durkheim, somos libres? ¿Somos autores de nuestros propios pensamientos y acciones?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explicación a cargo de la docente.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compartida de las páginas 25, 26 y 27.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“hecho social”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 y diferencia: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mecánica.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orgánica.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¿Cuál es la doble función del castigo según Durkheim?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Piensa y describe dos ejemplos de hechos sociales imperceptibles y sus consecuencias si se transgreden. </w:t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</w:t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Revisión de las consignas dadas. 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3XDFgXrtr2q+vcjqvrnDoULIBg==">CgMxLjA4AHIhMTRoM2x6b0Exbll4RGZBb2ZLeW1SX3VxbHdBOXlpaGY1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