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N°5</w:t>
      </w:r>
    </w:p>
    <w:p w:rsidR="00000000" w:rsidDel="00000000" w:rsidP="00000000" w:rsidRDefault="00000000" w:rsidRPr="00000000" w14:paraId="00000006">
      <w:pPr>
        <w:spacing w:after="120" w:line="333.6" w:lineRule="auto"/>
        <w:rPr>
          <w:rFonts w:ascii="Arial" w:cs="Arial" w:eastAsia="Arial" w:hAnsi="Arial"/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u w:val="single"/>
          <w:rtl w:val="0"/>
        </w:rPr>
        <w:t xml:space="preserve">Tema: Patología y manifestación de la enfermedad </w:t>
      </w:r>
    </w:p>
    <w:p w:rsidR="00000000" w:rsidDel="00000000" w:rsidP="00000000" w:rsidRDefault="00000000" w:rsidRPr="00000000" w14:paraId="00000007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20" w:line="310.79999999999995" w:lineRule="auto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shd w:fill="ffffff" w:val="clear"/>
        <w:spacing w:after="0" w:line="310.79999999999995" w:lineRule="auto"/>
        <w:ind w:left="800" w:hanging="260"/>
        <w:jc w:val="both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7"/>
          <w:szCs w:val="27"/>
          <w:highlight w:val="white"/>
          <w:rtl w:val="0"/>
        </w:rPr>
        <w:t xml:space="preserve">Lectura de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 las páginas  26 del libro. Marcar ideas principales y secundarias</w:t>
      </w:r>
    </w:p>
    <w:p w:rsidR="00000000" w:rsidDel="00000000" w:rsidP="00000000" w:rsidRDefault="00000000" w:rsidRPr="00000000" w14:paraId="0000000A">
      <w:pPr>
        <w:spacing w:after="0" w:line="310.7999999999999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Luego de leer el texto de la pág. 26 responda:</w:t>
      </w:r>
    </w:p>
    <w:p w:rsidR="00000000" w:rsidDel="00000000" w:rsidP="00000000" w:rsidRDefault="00000000" w:rsidRPr="00000000" w14:paraId="0000000B">
      <w:pPr>
        <w:spacing w:after="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360" w:line="288.00000000000006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¿Qué es una patología y cuáles son sus ramas?</w:t>
      </w:r>
    </w:p>
    <w:p w:rsidR="00000000" w:rsidDel="00000000" w:rsidP="00000000" w:rsidRDefault="00000000" w:rsidRPr="00000000" w14:paraId="0000000D">
      <w:pPr>
        <w:spacing w:after="360" w:line="310.79999999999995" w:lineRule="auto"/>
        <w:ind w:left="800" w:hanging="2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¿Cuáles son los aspectos por los cuales está determinado el proceso patológico? Desarrolla cada uno.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wrf6sozaflhj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Lectura de la pág. 27 del libro.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Completá: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síntomas son: ______________________________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signos clínicos son: 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virulencia es: ______________________________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Ejemplos: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72742859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Dolor → __________</w:t>
            <w:br w:type="textWrapping"/>
          </w:r>
        </w:sdtContent>
      </w:sdt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181013789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Fiebre → __________</w:t>
            <w:br w:type="textWrapping"/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60032273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Capacidad de un virus de dañar → __________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Respondé: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un síndrome?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diferencia hay entre síndrome y trastorno?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un trastorno no siempre implica una enfermedad?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Ordená correctamente y explicá cada etapa: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sdt>
        <w:sdtPr>
          <w:id w:val="936642749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Período clínico</w:t>
            <w:br w:type="textWrapping"/>
            <w:t xml:space="preserve">⬜ Transmisión o contagio</w:t>
            <w:br w:type="textWrapping"/>
            <w:t xml:space="preserve">⬜ Período de incubación</w:t>
            <w:br w:type="textWrapping"/>
          </w:r>
        </w:sdtContent>
      </w:sdt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042727487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Recuperación</w:t>
            <w:br w:type="textWrapping"/>
          </w:r>
        </w:sdtContent>
      </w:sdt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952472204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Período pre-clínico </w:t>
          </w:r>
        </w:sdtContent>
      </w:sdt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Luego respondé: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¿En qué etapa aparecen los síntomas?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¿En cuál no hay síntomas pero ya hay enfermedad?</w:t>
        <w:br w:type="textWrapping"/>
        <w:t xml:space="preserve"> 5- Elabora un mapa conceptual con las defensas naturales del cuerpo. </w:t>
      </w:r>
    </w:p>
    <w:p w:rsidR="00000000" w:rsidDel="00000000" w:rsidP="00000000" w:rsidRDefault="00000000" w:rsidRPr="00000000" w14:paraId="00000022">
      <w:pPr>
        <w:spacing w:after="120" w:line="333.6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31"/>
        </w:tabs>
        <w:spacing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nAKmMpebRQOb7MHsEmTK3fYUQ==">CgMxLjAaJAoBMBIfCh0IB0IZCgVBcmlhbBIQQXJpYWwgVW5pY29kZSBNUxokCgExEh8KHQgHQhkKBUFyaWFsEhBBcmlhbCBVbmljb2RlIE1TGiQKATISHwodCAdCGQoFQXJpYWwSEEFyaWFsIFVuaWNvZGUgTVMaHQoBMxIYChYIB0ISCgVBcmlhbBIJRmlyYSBNb25vGh0KATQSGAoWCAdCEgoFQXJpYWwSCUZpcmEgTW9ubxodCgE1EhgKFggHQhIKBUFyaWFsEglGaXJhIE1vbm8yDmgud3JmNnNvemFmbGhqOAByITE1Y1F4N3pSbElMZGI1ZlJfbmRuY3hVU0wwSWZHTDB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