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37AE1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2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</w:t>
      </w:r>
      <w:r w:rsid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disciplinar 2026 Ciclo Básico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</w:p>
    <w:p w:rsidR="007B141E" w:rsidRPr="00E37AE1" w:rsidRDefault="00E37AE1" w:rsidP="00E37AE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“</w:t>
      </w:r>
      <w:proofErr w:type="spellStart"/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Unknown</w:t>
      </w:r>
      <w:proofErr w:type="spellEnd"/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wonders</w:t>
      </w:r>
      <w:proofErr w:type="spellEnd"/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of </w:t>
      </w:r>
      <w:proofErr w:type="spellStart"/>
      <w:r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Tucuman</w:t>
      </w:r>
      <w:proofErr w:type="spellEnd"/>
      <w:r w:rsidR="0037729A" w:rsidRP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”</w:t>
      </w:r>
    </w:p>
    <w:p w:rsidR="004343B1" w:rsidRDefault="004343B1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E37AE1">
        <w:rPr>
          <w:b/>
          <w:i/>
          <w:sz w:val="28"/>
          <w:szCs w:val="28"/>
          <w:u w:val="single"/>
          <w:lang w:val="es-ES"/>
        </w:rPr>
        <w:t xml:space="preserve"> </w:t>
      </w:r>
      <w:r w:rsidR="0037729A"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Fundamentación:</w:t>
      </w:r>
    </w:p>
    <w:p w:rsidR="002C02FD" w:rsidRDefault="00E37AE1" w:rsidP="00E37AE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 xml:space="preserve">Esta propuesta pedagógica, enmarcada en el taller: “Caleidoscopio II: ¿Qué te asombra?”, se fundamenta en la necesidad de generar un proceso de extrañamiento sobre nuestra propia realidad tucumana, invitando a los estudiantes a, como señala </w:t>
      </w:r>
      <w:proofErr w:type="spellStart"/>
      <w:r w:rsidRPr="00E37AE1">
        <w:rPr>
          <w:rFonts w:asciiTheme="minorHAnsi" w:hAnsiTheme="minorHAnsi" w:cstheme="minorHAnsi"/>
          <w:sz w:val="24"/>
          <w:szCs w:val="24"/>
        </w:rPr>
        <w:t>Nicastro</w:t>
      </w:r>
      <w:proofErr w:type="spellEnd"/>
      <w:r w:rsidRPr="00E37AE1">
        <w:rPr>
          <w:rFonts w:asciiTheme="minorHAnsi" w:hAnsiTheme="minorHAnsi" w:cstheme="minorHAnsi"/>
          <w:sz w:val="24"/>
          <w:szCs w:val="24"/>
        </w:rPr>
        <w:t xml:space="preserve"> (2006), “descubrir algo del orden de lo inédito en el volver a mirar lo ya mirado” (p.13). El objetivo es cuestionar las categorías universales y desnaturalizar hechos, mitos o lugares que considerábamos conocidos, utilizando el asombro como motor para formular nuevas preguntas sobre el presente. En este sentido, el aprendizaje de las Lenguas y Culturas Extranjeras se posiciona no solo como una herramienta comunicativa, sino como una instancia de apertura hacia horizontes perceptivos que permiten construir una identidad abierta y respetuosa de la diversidad sociocultural. Asimismo, la propuesta se sustenta en una perspectiva plurilingüe e intercultural, donde el lenguaje es entendido como el resultado del intercambio sociocultural y una condición esencial para el desarrollo de la cultura. Al abordar las Lenguas y Culturas Extranjeras desde las prácticas sociales del lenguaje, se busca que los estudiantes utilicen el inglés para reflexionar sobre su propio universo, reconociendo el impacto del idioma en su cognición y percepción del mundo. Este enfoque promueve un aprendizaje significativo mediante el uso de entornos virtuales y tareas auténticas, como la creación de contenido digital y proyectos colaborativos, que insertan a los jóvenes como actores sociales genuinos en la realidad actual de su provincia. </w:t>
      </w:r>
    </w:p>
    <w:p w:rsidR="00E37AE1" w:rsidRPr="00E37AE1" w:rsidRDefault="00E37AE1" w:rsidP="00E37AE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729A" w:rsidRPr="0037729A" w:rsidRDefault="0037729A" w:rsidP="008545A5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7729A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Objetivos específicos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E37AE1" w:rsidRPr="00E37AE1" w:rsidRDefault="0037729A" w:rsidP="00E37AE1">
      <w:pPr>
        <w:pStyle w:val="Prrafodelista"/>
        <w:numPr>
          <w:ilvl w:val="0"/>
          <w:numId w:val="32"/>
        </w:numPr>
        <w:spacing w:line="360" w:lineRule="auto"/>
        <w:ind w:left="709" w:hanging="349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 </w:t>
      </w:r>
      <w:r w:rsidR="00E37AE1" w:rsidRPr="00E37AE1">
        <w:rPr>
          <w:rFonts w:asciiTheme="minorHAnsi" w:hAnsiTheme="minorHAnsi" w:cstheme="minorHAnsi"/>
          <w:sz w:val="24"/>
          <w:szCs w:val="24"/>
        </w:rPr>
        <w:t xml:space="preserve">Identificar hechos asombrosos o “extraños” con el fin de desnaturalizar la visión cotidiana que se tiene de la provincia. </w:t>
      </w:r>
    </w:p>
    <w:p w:rsidR="00E37AE1" w:rsidRPr="00E37AE1" w:rsidRDefault="00E37AE1" w:rsidP="00E37AE1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 xml:space="preserve">Diseñar un itinerario de viaje y contenido digital que integre estos datos sorprendentes, utilizando estructuras sencillas en inglés. </w:t>
      </w:r>
    </w:p>
    <w:p w:rsidR="00913E4E" w:rsidRPr="00E37AE1" w:rsidRDefault="00E37AE1" w:rsidP="00E37AE1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>Analizar críticamente cómo el idioma moldea nuestra percepción de la realidad. Producir proyectos multimodales (podcasts o murales digitales) que utilicen frases idiomáticas y jerga local, únicos de nuestra identidad al inglés.</w:t>
      </w:r>
    </w:p>
    <w:p w:rsidR="00E37AE1" w:rsidRDefault="0037729A" w:rsidP="00E37AE1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</w:pPr>
      <w:proofErr w:type="spellStart"/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E37AE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ctividad</w:t>
      </w:r>
      <w:proofErr w:type="spellEnd"/>
      <w:r w:rsidR="00E37AE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 n°1:</w:t>
      </w:r>
    </w:p>
    <w:p w:rsidR="00E37AE1" w:rsidRPr="00E37AE1" w:rsidRDefault="00E37AE1" w:rsidP="00E37AE1">
      <w:pPr>
        <w:rPr>
          <w:rFonts w:cstheme="minorHAnsi"/>
          <w:b/>
          <w:bCs/>
          <w:color w:val="0070C0"/>
          <w:lang w:val="en-US"/>
        </w:rPr>
      </w:pPr>
      <w:r w:rsidRPr="00E37AE1">
        <w:rPr>
          <w:rFonts w:cstheme="minorHAnsi"/>
          <w:b/>
          <w:bCs/>
          <w:color w:val="0070C0"/>
          <w:lang w:val="en-US"/>
        </w:rPr>
        <w:t>PRE-READING ACTIVITIES:</w:t>
      </w:r>
    </w:p>
    <w:p w:rsidR="00E37AE1" w:rsidRPr="00E37AE1" w:rsidRDefault="00E37AE1" w:rsidP="00E37AE1">
      <w:pPr>
        <w:pStyle w:val="Prrafodelista"/>
        <w:numPr>
          <w:ilvl w:val="0"/>
          <w:numId w:val="35"/>
        </w:numPr>
        <w:tabs>
          <w:tab w:val="num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>Se muestran distintas imágenes de lugares/edificios/festivales destacados de Tucumán, para reactivar conocimientos previos. Se guía la participación mediante preguntas como:</w:t>
      </w:r>
    </w:p>
    <w:p w:rsidR="00E37AE1" w:rsidRPr="00E37AE1" w:rsidRDefault="00E37AE1" w:rsidP="00E37AE1">
      <w:pPr>
        <w:numPr>
          <w:ilvl w:val="0"/>
          <w:numId w:val="33"/>
        </w:numPr>
        <w:tabs>
          <w:tab w:val="clear" w:pos="720"/>
          <w:tab w:val="num" w:pos="1260"/>
        </w:tabs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37AE1">
        <w:rPr>
          <w:rFonts w:asciiTheme="minorHAnsi" w:hAnsiTheme="minorHAnsi" w:cstheme="minorHAnsi"/>
          <w:sz w:val="24"/>
          <w:szCs w:val="24"/>
        </w:rPr>
        <w:t>Where</w:t>
      </w:r>
      <w:proofErr w:type="spellEnd"/>
      <w:r w:rsidRPr="00E37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37AE1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E37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37AE1">
        <w:rPr>
          <w:rFonts w:asciiTheme="minorHAnsi" w:hAnsiTheme="minorHAnsi" w:cstheme="minorHAnsi"/>
          <w:sz w:val="24"/>
          <w:szCs w:val="24"/>
        </w:rPr>
        <w:t>it</w:t>
      </w:r>
      <w:proofErr w:type="spellEnd"/>
      <w:r w:rsidRPr="00E37AE1">
        <w:rPr>
          <w:rFonts w:asciiTheme="minorHAnsi" w:hAnsiTheme="minorHAnsi" w:cstheme="minorHAnsi"/>
          <w:sz w:val="24"/>
          <w:szCs w:val="24"/>
        </w:rPr>
        <w:t>?</w:t>
      </w:r>
    </w:p>
    <w:p w:rsidR="00E37AE1" w:rsidRPr="00E37AE1" w:rsidRDefault="00E37AE1" w:rsidP="00E37AE1">
      <w:pPr>
        <w:numPr>
          <w:ilvl w:val="0"/>
          <w:numId w:val="33"/>
        </w:numPr>
        <w:tabs>
          <w:tab w:val="clear" w:pos="720"/>
          <w:tab w:val="num" w:pos="1260"/>
        </w:tabs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Is it old or modern?</w:t>
      </w:r>
    </w:p>
    <w:p w:rsidR="00E37AE1" w:rsidRPr="00E37AE1" w:rsidRDefault="00E37AE1" w:rsidP="00E37AE1">
      <w:pPr>
        <w:numPr>
          <w:ilvl w:val="0"/>
          <w:numId w:val="33"/>
        </w:numPr>
        <w:tabs>
          <w:tab w:val="clear" w:pos="720"/>
          <w:tab w:val="num" w:pos="1260"/>
        </w:tabs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Is it natural or historical?</w:t>
      </w:r>
    </w:p>
    <w:p w:rsidR="00E37AE1" w:rsidRPr="00E37AE1" w:rsidRDefault="00E37AE1" w:rsidP="00E37AE1">
      <w:pPr>
        <w:numPr>
          <w:ilvl w:val="0"/>
          <w:numId w:val="33"/>
        </w:numPr>
        <w:tabs>
          <w:tab w:val="clear" w:pos="720"/>
          <w:tab w:val="num" w:pos="1260"/>
        </w:tabs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What can you do there?</w:t>
      </w:r>
    </w:p>
    <w:p w:rsidR="00E37AE1" w:rsidRPr="00E37AE1" w:rsidRDefault="00E37AE1" w:rsidP="00E37AE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>Los alumnos deben escribir 3 predicciones sobre cada texto. Por ejemplo:</w:t>
      </w:r>
    </w:p>
    <w:p w:rsidR="00E37AE1" w:rsidRPr="00E37AE1" w:rsidRDefault="00E37AE1" w:rsidP="00E37AE1">
      <w:pPr>
        <w:pStyle w:val="Prrafodelista"/>
        <w:numPr>
          <w:ilvl w:val="0"/>
          <w:numId w:val="34"/>
        </w:numPr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I think it is…</w:t>
      </w:r>
    </w:p>
    <w:p w:rsidR="00E37AE1" w:rsidRPr="00E37AE1" w:rsidRDefault="00E37AE1" w:rsidP="00E37AE1">
      <w:pPr>
        <w:pStyle w:val="Prrafodelista"/>
        <w:numPr>
          <w:ilvl w:val="0"/>
          <w:numId w:val="34"/>
        </w:numPr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I think you can…</w:t>
      </w:r>
    </w:p>
    <w:p w:rsidR="00E37AE1" w:rsidRPr="00E37AE1" w:rsidRDefault="00E37AE1" w:rsidP="00E37AE1">
      <w:pPr>
        <w:pStyle w:val="Prrafodelista"/>
        <w:numPr>
          <w:ilvl w:val="0"/>
          <w:numId w:val="34"/>
        </w:numPr>
        <w:spacing w:line="360" w:lineRule="auto"/>
        <w:ind w:left="16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Maybe it is famous for…</w:t>
      </w:r>
    </w:p>
    <w:p w:rsidR="00E37AE1" w:rsidRPr="00E37AE1" w:rsidRDefault="00E37AE1" w:rsidP="00E37AE1">
      <w:pPr>
        <w:pStyle w:val="Prrafodelista"/>
        <w:numPr>
          <w:ilvl w:val="0"/>
          <w:numId w:val="35"/>
        </w:numPr>
        <w:tabs>
          <w:tab w:val="num" w:pos="45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AE1">
        <w:rPr>
          <w:rFonts w:asciiTheme="minorHAnsi" w:hAnsiTheme="minorHAnsi" w:cstheme="minorHAnsi"/>
          <w:sz w:val="24"/>
          <w:szCs w:val="24"/>
        </w:rPr>
        <w:t>Se escriben las siguientes palabras en el pizarrón para que los alumnos las relacionen con las imágenes uniéndolas con flechas.</w:t>
      </w:r>
    </w:p>
    <w:p w:rsidR="00E37AE1" w:rsidRPr="00E37AE1" w:rsidRDefault="00E37AE1" w:rsidP="00E37AE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7AE1">
        <w:rPr>
          <w:rFonts w:asciiTheme="minorHAnsi" w:hAnsiTheme="minorHAnsi" w:cstheme="minorHAnsi"/>
          <w:sz w:val="24"/>
          <w:szCs w:val="24"/>
          <w:lang w:val="en-US"/>
        </w:rPr>
        <w:t>museum – waterfall – valley – mountain – festival – independence – juicy – vineyard – cheese – dam – historical – nature – ancient</w:t>
      </w:r>
    </w:p>
    <w:p w:rsidR="00E37AE1" w:rsidRPr="00E37AE1" w:rsidRDefault="00DE3217" w:rsidP="00E37AE1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</w:pPr>
      <w:bookmarkStart w:id="1" w:name="_GoBack"/>
      <w:r w:rsidRPr="00DE3217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5662930</wp:posOffset>
            </wp:positionV>
            <wp:extent cx="2857500" cy="14763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Pr="00DE3217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3299460</wp:posOffset>
            </wp:positionH>
            <wp:positionV relativeFrom="paragraph">
              <wp:posOffset>5664199</wp:posOffset>
            </wp:positionV>
            <wp:extent cx="2952750" cy="150513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257" cy="1508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3347668</wp:posOffset>
            </wp:positionH>
            <wp:positionV relativeFrom="paragraph">
              <wp:posOffset>-117475</wp:posOffset>
            </wp:positionV>
            <wp:extent cx="2695575" cy="170089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00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1701800</wp:posOffset>
            </wp:positionV>
            <wp:extent cx="2705100" cy="173673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480" cy="174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3511550</wp:posOffset>
            </wp:positionV>
            <wp:extent cx="2695575" cy="1975994"/>
            <wp:effectExtent l="0" t="0" r="0" b="571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97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3577590</wp:posOffset>
            </wp:positionV>
            <wp:extent cx="2257425" cy="1801701"/>
            <wp:effectExtent l="0" t="0" r="0" b="825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01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1438275</wp:posOffset>
            </wp:positionV>
            <wp:extent cx="2286000" cy="1997364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9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17">
        <w:rPr>
          <w:noProof/>
          <w:lang w:val="en-US" w:eastAsia="en-US"/>
        </w:rPr>
        <w:t xml:space="preserve"> </w:t>
      </w:r>
      <w:r w:rsidRPr="00DE3217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drawing>
          <wp:inline distT="0" distB="0" distL="0" distR="0" wp14:anchorId="7D4AE812" wp14:editId="382BB583">
            <wp:extent cx="2278260" cy="12287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00651" cy="124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217">
        <w:rPr>
          <w:noProof/>
          <w:lang w:val="en-US" w:eastAsia="en-US"/>
        </w:rPr>
        <w:t xml:space="preserve"> </w:t>
      </w:r>
    </w:p>
    <w:sectPr w:rsidR="00E37AE1" w:rsidRPr="00E37AE1" w:rsidSect="00C3354E">
      <w:headerReference w:type="default" r:id="rId20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B9" w:rsidRDefault="00E21AB9">
      <w:pPr>
        <w:spacing w:after="0" w:line="240" w:lineRule="auto"/>
      </w:pPr>
      <w:r>
        <w:separator/>
      </w:r>
    </w:p>
  </w:endnote>
  <w:endnote w:type="continuationSeparator" w:id="0">
    <w:p w:rsidR="00E21AB9" w:rsidRDefault="00E2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B9" w:rsidRDefault="00E21AB9">
      <w:pPr>
        <w:spacing w:after="0" w:line="240" w:lineRule="auto"/>
      </w:pPr>
      <w:r>
        <w:separator/>
      </w:r>
    </w:p>
  </w:footnote>
  <w:footnote w:type="continuationSeparator" w:id="0">
    <w:p w:rsidR="00E21AB9" w:rsidRDefault="00E2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3F5F"/>
    <w:multiLevelType w:val="multilevel"/>
    <w:tmpl w:val="4556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4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28"/>
  </w:num>
  <w:num w:numId="11">
    <w:abstractNumId w:val="31"/>
  </w:num>
  <w:num w:numId="12">
    <w:abstractNumId w:val="30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2"/>
  </w:num>
  <w:num w:numId="19">
    <w:abstractNumId w:val="21"/>
  </w:num>
  <w:num w:numId="20">
    <w:abstractNumId w:val="1"/>
  </w:num>
  <w:num w:numId="21">
    <w:abstractNumId w:val="2"/>
  </w:num>
  <w:num w:numId="22">
    <w:abstractNumId w:val="15"/>
  </w:num>
  <w:num w:numId="23">
    <w:abstractNumId w:val="33"/>
  </w:num>
  <w:num w:numId="24">
    <w:abstractNumId w:val="25"/>
  </w:num>
  <w:num w:numId="25">
    <w:abstractNumId w:val="29"/>
  </w:num>
  <w:num w:numId="26">
    <w:abstractNumId w:val="27"/>
  </w:num>
  <w:num w:numId="27">
    <w:abstractNumId w:val="7"/>
  </w:num>
  <w:num w:numId="28">
    <w:abstractNumId w:val="24"/>
  </w:num>
  <w:num w:numId="29">
    <w:abstractNumId w:val="5"/>
  </w:num>
  <w:num w:numId="30">
    <w:abstractNumId w:val="9"/>
  </w:num>
  <w:num w:numId="31">
    <w:abstractNumId w:val="0"/>
  </w:num>
  <w:num w:numId="32">
    <w:abstractNumId w:val="18"/>
  </w:num>
  <w:num w:numId="33">
    <w:abstractNumId w:val="26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527403"/>
    <w:rsid w:val="007B141E"/>
    <w:rsid w:val="007E2A44"/>
    <w:rsid w:val="007F7BF1"/>
    <w:rsid w:val="00850B76"/>
    <w:rsid w:val="008545A5"/>
    <w:rsid w:val="0087457B"/>
    <w:rsid w:val="008B524D"/>
    <w:rsid w:val="008B722B"/>
    <w:rsid w:val="008D2EF6"/>
    <w:rsid w:val="008E1519"/>
    <w:rsid w:val="00913E4E"/>
    <w:rsid w:val="0097795F"/>
    <w:rsid w:val="009E41CC"/>
    <w:rsid w:val="00A11681"/>
    <w:rsid w:val="00A52626"/>
    <w:rsid w:val="00A730D1"/>
    <w:rsid w:val="00A96A1B"/>
    <w:rsid w:val="00AA7C69"/>
    <w:rsid w:val="00AD3746"/>
    <w:rsid w:val="00AE0962"/>
    <w:rsid w:val="00B32A16"/>
    <w:rsid w:val="00B50328"/>
    <w:rsid w:val="00BE3170"/>
    <w:rsid w:val="00BF021D"/>
    <w:rsid w:val="00C3354E"/>
    <w:rsid w:val="00C4591C"/>
    <w:rsid w:val="00D02DBC"/>
    <w:rsid w:val="00D442E1"/>
    <w:rsid w:val="00D5632D"/>
    <w:rsid w:val="00D75A7D"/>
    <w:rsid w:val="00D95840"/>
    <w:rsid w:val="00DE3217"/>
    <w:rsid w:val="00E21AB9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0B3D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3</cp:revision>
  <dcterms:created xsi:type="dcterms:W3CDTF">2026-03-01T22:54:00Z</dcterms:created>
  <dcterms:modified xsi:type="dcterms:W3CDTF">2026-03-01T23:11:00Z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