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B14DCC" w:rsidRPr="00B14DCC">
        <w:rPr>
          <w:rFonts w:ascii="Calibri" w:eastAsia="Times New Roman" w:hAnsi="Calibri" w:cs="Calibri"/>
          <w:i/>
          <w:iCs/>
          <w:color w:val="000000"/>
          <w:lang w:val="es-AR" w:eastAsia="es-AR"/>
        </w:rPr>
        <w:t>Lenguas Extranjeras: inglés- Caleidoscopio Tucumano II ¿Qué te asombra?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CE479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4</w:t>
      </w:r>
    </w:p>
    <w:p w:rsidR="002C02FD" w:rsidRPr="00B14DCC" w:rsidRDefault="002C02FD" w:rsidP="002C02FD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</w:pPr>
      <w:r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Taller Inicial</w:t>
      </w:r>
      <w:r w:rsidR="00B14DCC"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 xml:space="preserve"> Multidisciplinar 2026 Ciclo Básico: </w:t>
      </w:r>
    </w:p>
    <w:p w:rsidR="006D034F" w:rsidRPr="006D42EE" w:rsidRDefault="00B14DCC" w:rsidP="006D42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D42E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14DCC">
        <w:rPr>
          <w:rFonts w:eastAsia="Times New Roman"/>
          <w:b/>
          <w:bCs/>
          <w:color w:val="000000"/>
          <w:sz w:val="24"/>
          <w:szCs w:val="24"/>
          <w:u w:val="single"/>
          <w:lang w:val="en-GB"/>
        </w:rPr>
        <w:t>“Unknown wonders of Tucuman”</w:t>
      </w:r>
      <w:r w:rsidR="006D034F"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CE4792" w:rsidRDefault="006D034F" w:rsidP="00CE479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6D42EE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Activities: </w:t>
      </w:r>
    </w:p>
    <w:p w:rsidR="00CE4792" w:rsidRPr="00CE4792" w:rsidRDefault="00CE4792" w:rsidP="00CE479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1. </w:t>
      </w:r>
      <w:r w:rsidRPr="00CE4792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Answer in complete sentences:</w:t>
      </w:r>
    </w:p>
    <w:p w:rsidR="00CE4792" w:rsidRPr="00CE4792" w:rsidRDefault="00CE4792" w:rsidP="00CE4792">
      <w:pPr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1. Where is El </w:t>
      </w:r>
      <w:proofErr w:type="spellStart"/>
      <w:r w:rsidRPr="00CE4792">
        <w:rPr>
          <w:rFonts w:asciiTheme="minorHAnsi" w:hAnsiTheme="minorHAnsi" w:cstheme="minorHAnsi"/>
          <w:sz w:val="24"/>
          <w:szCs w:val="24"/>
          <w:lang w:val="en-GB"/>
        </w:rPr>
        <w:t>Chorrito</w:t>
      </w:r>
      <w:proofErr w:type="spellEnd"/>
      <w:r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 located?</w:t>
      </w:r>
    </w:p>
    <w:p w:rsidR="00CE4792" w:rsidRPr="00CE4792" w:rsidRDefault="00CE4792" w:rsidP="00CE4792">
      <w:pPr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4792">
        <w:rPr>
          <w:rFonts w:asciiTheme="minorHAnsi" w:hAnsiTheme="minorHAnsi" w:cstheme="minorHAnsi"/>
          <w:sz w:val="24"/>
          <w:szCs w:val="24"/>
          <w:lang w:val="en-GB"/>
        </w:rPr>
        <w:t>2. Why is the water special?</w:t>
      </w:r>
    </w:p>
    <w:p w:rsidR="00CE4792" w:rsidRPr="00CE4792" w:rsidRDefault="00CE4792" w:rsidP="00CE4792">
      <w:pPr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4792">
        <w:rPr>
          <w:rFonts w:asciiTheme="minorHAnsi" w:hAnsiTheme="minorHAnsi" w:cstheme="minorHAnsi"/>
          <w:sz w:val="24"/>
          <w:szCs w:val="24"/>
          <w:lang w:val="en-GB"/>
        </w:rPr>
        <w:t>3. Why is it one of the hidden treasures of Tucumán?</w:t>
      </w:r>
    </w:p>
    <w:p w:rsidR="00CE4792" w:rsidRPr="00CE4792" w:rsidRDefault="00CE4792" w:rsidP="00CE4792">
      <w:pPr>
        <w:spacing w:line="360" w:lineRule="auto"/>
        <w:ind w:left="142" w:hanging="14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4792">
        <w:rPr>
          <w:rFonts w:asciiTheme="minorHAnsi" w:hAnsiTheme="minorHAnsi" w:cstheme="minorHAnsi"/>
          <w:sz w:val="24"/>
          <w:szCs w:val="24"/>
          <w:lang w:val="en-GB"/>
        </w:rPr>
        <w:t>4. When is the best time to visit?</w:t>
      </w:r>
    </w:p>
    <w:p w:rsidR="00CE4792" w:rsidRDefault="00CE4792" w:rsidP="00CE479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5. Would you like to visit El </w:t>
      </w:r>
      <w:proofErr w:type="spellStart"/>
      <w:r w:rsidRPr="00CE4792">
        <w:rPr>
          <w:rFonts w:asciiTheme="minorHAnsi" w:hAnsiTheme="minorHAnsi" w:cstheme="minorHAnsi"/>
          <w:sz w:val="24"/>
          <w:szCs w:val="24"/>
          <w:lang w:val="en-GB"/>
        </w:rPr>
        <w:t>Chorrito</w:t>
      </w:r>
      <w:proofErr w:type="spellEnd"/>
      <w:r w:rsidRPr="00CE4792">
        <w:rPr>
          <w:rFonts w:asciiTheme="minorHAnsi" w:hAnsiTheme="minorHAnsi" w:cstheme="minorHAnsi"/>
          <w:sz w:val="24"/>
          <w:szCs w:val="24"/>
          <w:lang w:val="en-GB"/>
        </w:rPr>
        <w:t>? Why / Why not? (Write 4–5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CE4792">
        <w:rPr>
          <w:rFonts w:asciiTheme="minorHAnsi" w:hAnsiTheme="minorHAnsi" w:cstheme="minorHAnsi"/>
          <w:sz w:val="24"/>
          <w:szCs w:val="24"/>
          <w:lang w:val="en-GB"/>
        </w:rPr>
        <w:t>sentences.)</w:t>
      </w:r>
    </w:p>
    <w:p w:rsidR="0099143A" w:rsidRPr="0099143A" w:rsidRDefault="0099143A" w:rsidP="00CE479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99143A">
        <w:rPr>
          <w:rFonts w:asciiTheme="minorHAnsi" w:hAnsiTheme="minorHAnsi" w:cstheme="minorHAnsi"/>
          <w:b/>
          <w:sz w:val="24"/>
          <w:szCs w:val="24"/>
          <w:lang w:val="en-GB"/>
        </w:rPr>
        <w:t xml:space="preserve">2. </w:t>
      </w:r>
      <w:r w:rsidRPr="0099143A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The students should share their answers orally. </w:t>
      </w:r>
    </w:p>
    <w:p w:rsidR="0099143A" w:rsidRDefault="0099143A" w:rsidP="00CE479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99143A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3. Write the following list of Natural places in Argentina and choose one. Search for information from this for the next class.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Cataratas del Iguazú (Misiones)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Glaciar Perito Moreno (Santa Cruz)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Aconcagua (Mendoza)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Esteros del </w:t>
      </w:r>
      <w:proofErr w:type="spellStart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Iberá</w:t>
      </w:r>
      <w:proofErr w:type="spellEnd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 (Corrientes)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lastRenderedPageBreak/>
        <w:t xml:space="preserve">Península Valdés (Chubut)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Quebrada de Humahuaca (Jujuy)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Parque Nacional Los Glaciares (Santa Cruz)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Valle de la Luna / </w:t>
      </w:r>
      <w:proofErr w:type="spellStart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Ischigualasto</w:t>
      </w:r>
      <w:proofErr w:type="spellEnd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 (San Juan)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Laguna de los Pozuelos (Jujuy) </w:t>
      </w:r>
      <w:bookmarkStart w:id="1" w:name="_GoBack"/>
      <w:bookmarkEnd w:id="1"/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Parque Nacional Nahuel </w:t>
      </w:r>
      <w:proofErr w:type="spellStart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Huapi</w:t>
      </w:r>
      <w:proofErr w:type="spellEnd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 (Río Negro/Neuquén)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Sierra de las Quijadas (San Luis)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Dique El </w:t>
      </w:r>
      <w:proofErr w:type="spellStart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Cadillal</w:t>
      </w:r>
      <w:proofErr w:type="spellEnd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 / Sierras (Tucumán)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Bosque de Arrayanes (Neuquén)  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Parque Nacional </w:t>
      </w:r>
      <w:proofErr w:type="spellStart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Talampaya</w:t>
      </w:r>
      <w:proofErr w:type="spellEnd"/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 xml:space="preserve"> (La Rioja)</w:t>
      </w:r>
    </w:p>
    <w:p w:rsidR="0099143A" w:rsidRPr="0099143A" w:rsidRDefault="0099143A" w:rsidP="0099143A">
      <w:pPr>
        <w:numPr>
          <w:ilvl w:val="0"/>
          <w:numId w:val="2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80" w:after="180" w:line="360" w:lineRule="auto"/>
        <w:ind w:left="0"/>
        <w:jc w:val="both"/>
        <w:rPr>
          <w:rFonts w:asciiTheme="minorHAnsi" w:eastAsia="Times New Roman" w:hAnsiTheme="minorHAnsi" w:cstheme="minorHAnsi"/>
          <w:color w:val="09090B"/>
          <w:sz w:val="24"/>
          <w:szCs w:val="24"/>
        </w:rPr>
      </w:pPr>
      <w:r w:rsidRPr="0099143A">
        <w:rPr>
          <w:rFonts w:asciiTheme="minorHAnsi" w:eastAsia="Times New Roman" w:hAnsiTheme="minorHAnsi" w:cstheme="minorHAnsi"/>
          <w:color w:val="09090B"/>
          <w:sz w:val="24"/>
          <w:szCs w:val="24"/>
        </w:rPr>
        <w:t>Delta del Paraná (Buenos Aires/Entre Ríos)</w:t>
      </w:r>
    </w:p>
    <w:p w:rsidR="0099143A" w:rsidRPr="0099143A" w:rsidRDefault="0099143A" w:rsidP="0099143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9143A" w:rsidRPr="0099143A" w:rsidSect="00B14DCC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BE" w:rsidRDefault="00E571BE">
      <w:pPr>
        <w:spacing w:after="0" w:line="240" w:lineRule="auto"/>
      </w:pPr>
      <w:r>
        <w:separator/>
      </w:r>
    </w:p>
  </w:endnote>
  <w:endnote w:type="continuationSeparator" w:id="0">
    <w:p w:rsidR="00E571BE" w:rsidRDefault="00E5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BE" w:rsidRDefault="00E571BE">
      <w:pPr>
        <w:spacing w:after="0" w:line="240" w:lineRule="auto"/>
      </w:pPr>
      <w:r>
        <w:separator/>
      </w:r>
    </w:p>
  </w:footnote>
  <w:footnote w:type="continuationSeparator" w:id="0">
    <w:p w:rsidR="00E571BE" w:rsidRDefault="00E5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4343B1"/>
    <w:rsid w:val="00527403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A0F5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2026-03-07T16:30:00Z</dcterms:created>
  <dcterms:modified xsi:type="dcterms:W3CDTF">2026-03-07T16:30:00Z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