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Bocalandro, Noemi y col (2022). Activados 2: origen, evolución y continuidad de la vida.  Editorial: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TRABAJO PRÁCTICO N° 39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“MEMBRANA PLÁSMATICA”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del concepto de membrana plasmática y esquematización en el pizarrón de la misma.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Actividad (Pág. 58 y 59)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las páginas 58 y 59, resaltar las ideas principales y secundarias.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División de grupos para realizar la actividad 1a de la página 59 (Elaboración de una maqueta) para traer los elementos la clase siguiente.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