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EF4F3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EF4F3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EF4F3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EF4F3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DA0A32">
        <w:t>4</w:t>
      </w:r>
      <w:r w:rsidR="00A957C0">
        <w:t>º año</w:t>
      </w:r>
      <w:r w:rsidR="00806300">
        <w:t xml:space="preserve"> B</w:t>
      </w:r>
    </w:p>
    <w:p w:rsidR="00A957C0" w:rsidRDefault="00806300" w:rsidP="00DD6E44">
      <w:pPr>
        <w:spacing w:after="0" w:line="360" w:lineRule="auto"/>
      </w:pPr>
      <w:r>
        <w:t>Fecha: 19/08</w:t>
      </w:r>
      <w:r w:rsidR="00DA51D6">
        <w:t>/2025</w:t>
      </w:r>
    </w:p>
    <w:p w:rsidR="00DD6E44" w:rsidRDefault="00DD6E44" w:rsidP="00DD6E44">
      <w:pPr>
        <w:spacing w:after="0" w:line="360" w:lineRule="auto"/>
      </w:pPr>
      <w:r>
        <w:t>Bibliografía actual:</w:t>
      </w:r>
      <w:r w:rsidR="004D1E49">
        <w:t xml:space="preserve"> cuad</w:t>
      </w:r>
      <w:r w:rsidR="00DA0A32">
        <w:t>ernillo de lengua y literatura 4</w:t>
      </w:r>
      <w:r w:rsidR="004D1E49">
        <w:t>º año</w:t>
      </w:r>
    </w:p>
    <w:p w:rsidR="00DD6E44" w:rsidRDefault="00DD6E44" w:rsidP="00DD6E44">
      <w:pPr>
        <w:spacing w:after="0" w:line="360" w:lineRule="auto"/>
      </w:pPr>
      <w:r>
        <w:t xml:space="preserve">Bibliografía a utilizar en dos semanas: </w:t>
      </w:r>
      <w:r w:rsidR="00A55C7F">
        <w:t>---</w:t>
      </w:r>
    </w:p>
    <w:p w:rsidR="005E4303" w:rsidRDefault="00A55C7F" w:rsidP="00DD6E44">
      <w:pPr>
        <w:spacing w:after="0" w:line="360" w:lineRule="auto"/>
      </w:pPr>
      <w:r>
        <w:t>Pá</w:t>
      </w:r>
      <w:r w:rsidR="005E4303">
        <w:t xml:space="preserve">ginas: </w:t>
      </w:r>
    </w:p>
    <w:p w:rsidR="005E4303" w:rsidRDefault="005E4303" w:rsidP="005E4303">
      <w:pPr>
        <w:jc w:val="center"/>
      </w:pPr>
      <w:r>
        <w:t xml:space="preserve">Trabajo práctico nº </w:t>
      </w:r>
      <w:r w:rsidR="00CE133D">
        <w:t>39</w:t>
      </w:r>
      <w:r w:rsidR="00EF4F3A">
        <w:t xml:space="preserve"> </w:t>
      </w:r>
      <w:bookmarkStart w:id="0" w:name="_GoBack"/>
      <w:bookmarkEnd w:id="0"/>
    </w:p>
    <w:p w:rsidR="00806300" w:rsidRDefault="00806300" w:rsidP="005E4303">
      <w:pPr>
        <w:jc w:val="center"/>
      </w:pPr>
      <w:r>
        <w:t>Repaso para la evaluación del segundo trimestre</w:t>
      </w:r>
    </w:p>
    <w:p w:rsidR="00806300" w:rsidRDefault="00806300" w:rsidP="00806300">
      <w:r w:rsidRPr="00806300">
        <w:rPr>
          <w:highlight w:val="yellow"/>
        </w:rPr>
        <w:t>Temas:</w:t>
      </w:r>
    </w:p>
    <w:p w:rsidR="00806300" w:rsidRDefault="003806B0" w:rsidP="003806B0">
      <w:pPr>
        <w:pStyle w:val="Prrafodelista"/>
        <w:numPr>
          <w:ilvl w:val="0"/>
          <w:numId w:val="44"/>
        </w:numPr>
      </w:pPr>
      <w:r>
        <w:t xml:space="preserve">Texto argumentativo: estructura. Elementos y recursos argumentativos </w:t>
      </w:r>
    </w:p>
    <w:p w:rsidR="003806B0" w:rsidRDefault="003806B0" w:rsidP="003806B0">
      <w:pPr>
        <w:pStyle w:val="Prrafodelista"/>
        <w:numPr>
          <w:ilvl w:val="0"/>
          <w:numId w:val="44"/>
        </w:numPr>
      </w:pPr>
      <w:r>
        <w:t>Textos de opinión: editorial- carta de lectores</w:t>
      </w:r>
    </w:p>
    <w:p w:rsidR="003806B0" w:rsidRDefault="003806B0" w:rsidP="003806B0">
      <w:pPr>
        <w:pStyle w:val="Prrafodelista"/>
        <w:numPr>
          <w:ilvl w:val="0"/>
          <w:numId w:val="44"/>
        </w:numPr>
      </w:pPr>
      <w:r>
        <w:t>Literatura del barroco: concepto. Origen. Características.</w:t>
      </w:r>
    </w:p>
    <w:p w:rsidR="003806B0" w:rsidRDefault="003806B0" w:rsidP="003806B0">
      <w:pPr>
        <w:pStyle w:val="Prrafodelista"/>
        <w:numPr>
          <w:ilvl w:val="0"/>
          <w:numId w:val="44"/>
        </w:numPr>
      </w:pPr>
      <w:r>
        <w:t xml:space="preserve">“El ingenioso hidalgo don Quijote de La Mancha” de Miguel Cervantes Saavedra </w:t>
      </w:r>
    </w:p>
    <w:p w:rsidR="003806B0" w:rsidRDefault="003806B0" w:rsidP="003806B0">
      <w:pPr>
        <w:pStyle w:val="Prrafodelista"/>
        <w:numPr>
          <w:ilvl w:val="0"/>
          <w:numId w:val="44"/>
        </w:numPr>
      </w:pPr>
      <w:r>
        <w:t>La poesía y el discurso poético: Generación del 98 y del 27</w:t>
      </w:r>
    </w:p>
    <w:p w:rsidR="003806B0" w:rsidRDefault="003806B0" w:rsidP="003806B0">
      <w:pPr>
        <w:pStyle w:val="Prrafodelista"/>
        <w:numPr>
          <w:ilvl w:val="0"/>
          <w:numId w:val="44"/>
        </w:numPr>
      </w:pPr>
      <w:r>
        <w:t>Poesías: análisis poético</w:t>
      </w:r>
    </w:p>
    <w:p w:rsidR="00BC3BDF" w:rsidRDefault="00BC3BDF" w:rsidP="00BC3BDF"/>
    <w:p w:rsidR="00BC3BDF" w:rsidRDefault="00BC3BDF" w:rsidP="00BC3BDF">
      <w:pPr>
        <w:jc w:val="center"/>
      </w:pPr>
      <w:r w:rsidRPr="00BC3BDF">
        <w:rPr>
          <w:highlight w:val="yellow"/>
        </w:rPr>
        <w:t>Modelo de examen 1</w:t>
      </w:r>
    </w:p>
    <w:p w:rsidR="00806300" w:rsidRDefault="00BC3BDF" w:rsidP="00BC3BDF">
      <w:pPr>
        <w:pStyle w:val="Prrafodelista"/>
        <w:numPr>
          <w:ilvl w:val="0"/>
          <w:numId w:val="45"/>
        </w:numPr>
      </w:pPr>
      <w:r>
        <w:t xml:space="preserve">Leer el siguiente texto e identifica en él los recursos argumentativos luego responde: </w:t>
      </w:r>
    </w:p>
    <w:p w:rsidR="00BC3BDF" w:rsidRDefault="00BC3BDF" w:rsidP="00BC3BDF">
      <w:pPr>
        <w:pStyle w:val="Prrafodelista"/>
        <w:numPr>
          <w:ilvl w:val="0"/>
          <w:numId w:val="46"/>
        </w:numPr>
      </w:pPr>
      <w:r>
        <w:t>¿Cuál es la tesis que plantea el autor?</w:t>
      </w:r>
    </w:p>
    <w:p w:rsidR="00BC3BDF" w:rsidRDefault="00BC3BDF" w:rsidP="00BC3BDF">
      <w:pPr>
        <w:pStyle w:val="Prrafodelista"/>
        <w:numPr>
          <w:ilvl w:val="0"/>
          <w:numId w:val="46"/>
        </w:numPr>
      </w:pPr>
      <w:r>
        <w:t>¿Qué hechos son repudiados por la comunidad?</w:t>
      </w:r>
    </w:p>
    <w:p w:rsidR="00BC3BDF" w:rsidRPr="00BC3BDF" w:rsidRDefault="00BC3BDF" w:rsidP="000E4AB8">
      <w:pPr>
        <w:pBdr>
          <w:top w:val="single" w:sz="4" w:space="1" w:color="auto"/>
          <w:left w:val="single" w:sz="4" w:space="4" w:color="auto"/>
          <w:bottom w:val="single" w:sz="4" w:space="1" w:color="auto"/>
          <w:right w:val="single" w:sz="4" w:space="4" w:color="auto"/>
        </w:pBdr>
        <w:spacing w:after="100" w:afterAutospacing="1" w:line="240" w:lineRule="auto"/>
        <w:outlineLvl w:val="0"/>
        <w:rPr>
          <w:rFonts w:ascii="Arial" w:eastAsia="Times New Roman" w:hAnsi="Arial" w:cs="Arial"/>
          <w:b/>
          <w:bCs/>
          <w:kern w:val="36"/>
          <w:sz w:val="24"/>
          <w:szCs w:val="24"/>
          <w:lang w:eastAsia="es-AR"/>
        </w:rPr>
      </w:pPr>
      <w:r w:rsidRPr="00BC3BDF">
        <w:rPr>
          <w:rFonts w:ascii="Arial" w:eastAsia="Times New Roman" w:hAnsi="Arial" w:cs="Arial"/>
          <w:b/>
          <w:bCs/>
          <w:kern w:val="36"/>
          <w:sz w:val="24"/>
          <w:szCs w:val="24"/>
          <w:lang w:eastAsia="es-AR"/>
        </w:rPr>
        <w:t>Fallo histórico: condenan a prisión a los cazadores de un yaguareté</w:t>
      </w:r>
    </w:p>
    <w:p w:rsidR="00BC3BDF" w:rsidRPr="00BC3BDF" w:rsidRDefault="00BC3BDF" w:rsidP="000E4AB8">
      <w:pPr>
        <w:pBdr>
          <w:top w:val="single" w:sz="4" w:space="1" w:color="auto"/>
          <w:left w:val="single" w:sz="4" w:space="4" w:color="auto"/>
          <w:bottom w:val="single" w:sz="4" w:space="1" w:color="auto"/>
          <w:right w:val="single" w:sz="4" w:space="4" w:color="auto"/>
        </w:pBdr>
        <w:shd w:val="clear" w:color="auto" w:fill="FFFFFF"/>
        <w:spacing w:before="240" w:after="480" w:line="240" w:lineRule="auto"/>
        <w:rPr>
          <w:rFonts w:ascii="Arial" w:eastAsia="Times New Roman" w:hAnsi="Arial" w:cs="Arial"/>
          <w:color w:val="1C1C1C"/>
          <w:sz w:val="24"/>
          <w:szCs w:val="24"/>
          <w:lang w:eastAsia="es-AR"/>
        </w:rPr>
      </w:pPr>
      <w:r w:rsidRPr="00BC3BDF">
        <w:rPr>
          <w:rFonts w:ascii="Arial" w:eastAsia="Times New Roman" w:hAnsi="Arial" w:cs="Arial"/>
          <w:color w:val="1C1C1C"/>
          <w:sz w:val="24"/>
          <w:szCs w:val="24"/>
          <w:lang w:eastAsia="es-AR"/>
        </w:rPr>
        <w:t>Formosa, 13 de agosto de 2025.- La Justicia Federal dictó dos años de prisión para los cuatro responsables de matar a un yaguareté y exhibirlo en redes sociales. El caso fue impulsado por la Red Yaguareté. </w:t>
      </w:r>
    </w:p>
    <w:p w:rsidR="00BC3BDF" w:rsidRPr="00BC3BDF" w:rsidRDefault="00BC3BDF" w:rsidP="000E4AB8">
      <w:pPr>
        <w:pBdr>
          <w:top w:val="single" w:sz="4" w:space="1" w:color="auto"/>
          <w:left w:val="single" w:sz="4" w:space="4" w:color="auto"/>
          <w:bottom w:val="single" w:sz="4" w:space="1" w:color="auto"/>
          <w:right w:val="single" w:sz="4" w:space="4" w:color="auto"/>
        </w:pBdr>
        <w:shd w:val="clear" w:color="auto" w:fill="FFFFFF"/>
        <w:spacing w:before="240" w:after="480" w:line="240" w:lineRule="auto"/>
        <w:rPr>
          <w:rFonts w:ascii="Arial" w:eastAsia="Times New Roman" w:hAnsi="Arial" w:cs="Arial"/>
          <w:color w:val="1C1C1C"/>
          <w:sz w:val="24"/>
          <w:szCs w:val="24"/>
          <w:lang w:eastAsia="es-AR"/>
        </w:rPr>
      </w:pPr>
      <w:r w:rsidRPr="00BC3BDF">
        <w:rPr>
          <w:rFonts w:ascii="Arial" w:eastAsia="Times New Roman" w:hAnsi="Arial" w:cs="Arial"/>
          <w:color w:val="1C1C1C"/>
          <w:sz w:val="24"/>
          <w:szCs w:val="24"/>
          <w:lang w:eastAsia="es-AR"/>
        </w:rPr>
        <w:t xml:space="preserve">“Es un fallo histórico que avanza sobre una de las causas que ponen en serio peligro a la especie: la caza furtiva. Ahora es hora de avanzar sobre otra de las </w:t>
      </w:r>
      <w:r w:rsidRPr="00BC3BDF">
        <w:rPr>
          <w:rFonts w:ascii="Arial" w:eastAsia="Times New Roman" w:hAnsi="Arial" w:cs="Arial"/>
          <w:color w:val="1C1C1C"/>
          <w:sz w:val="24"/>
          <w:szCs w:val="24"/>
          <w:lang w:eastAsia="es-AR"/>
        </w:rPr>
        <w:lastRenderedPageBreak/>
        <w:t xml:space="preserve">amenazas que acechan a los últimos yaguaretés del Gran Chaco: la deforestación. La destrucción de bosques debe ser un delito penal”, declaró Hernán </w:t>
      </w:r>
      <w:proofErr w:type="spellStart"/>
      <w:r w:rsidRPr="00BC3BDF">
        <w:rPr>
          <w:rFonts w:ascii="Arial" w:eastAsia="Times New Roman" w:hAnsi="Arial" w:cs="Arial"/>
          <w:color w:val="1C1C1C"/>
          <w:sz w:val="24"/>
          <w:szCs w:val="24"/>
          <w:lang w:eastAsia="es-AR"/>
        </w:rPr>
        <w:t>Giardini</w:t>
      </w:r>
      <w:proofErr w:type="spellEnd"/>
      <w:r w:rsidRPr="00BC3BDF">
        <w:rPr>
          <w:rFonts w:ascii="Arial" w:eastAsia="Times New Roman" w:hAnsi="Arial" w:cs="Arial"/>
          <w:color w:val="1C1C1C"/>
          <w:sz w:val="24"/>
          <w:szCs w:val="24"/>
          <w:lang w:eastAsia="es-AR"/>
        </w:rPr>
        <w:t>, coordinador de la campaña de Bosques de Greenpeace Andino.</w:t>
      </w:r>
    </w:p>
    <w:p w:rsidR="00DA0A32" w:rsidRPr="000E4AB8" w:rsidRDefault="00BC3BDF" w:rsidP="000E4AB8">
      <w:pPr>
        <w:pBdr>
          <w:top w:val="single" w:sz="4" w:space="1" w:color="auto"/>
          <w:left w:val="single" w:sz="4" w:space="4" w:color="auto"/>
          <w:bottom w:val="single" w:sz="4" w:space="1" w:color="auto"/>
          <w:right w:val="single" w:sz="4" w:space="4" w:color="auto"/>
        </w:pBdr>
        <w:shd w:val="clear" w:color="auto" w:fill="FFFFFF"/>
        <w:spacing w:before="240" w:after="480" w:line="240" w:lineRule="auto"/>
        <w:rPr>
          <w:rFonts w:ascii="Arial" w:eastAsia="Times New Roman" w:hAnsi="Arial" w:cs="Arial"/>
          <w:color w:val="1C1C1C"/>
          <w:sz w:val="24"/>
          <w:szCs w:val="24"/>
          <w:lang w:eastAsia="es-AR"/>
        </w:rPr>
      </w:pPr>
      <w:r w:rsidRPr="00BC3BDF">
        <w:rPr>
          <w:rFonts w:ascii="Arial" w:eastAsia="Times New Roman" w:hAnsi="Arial" w:cs="Arial"/>
          <w:color w:val="1C1C1C"/>
          <w:sz w:val="24"/>
          <w:szCs w:val="24"/>
          <w:lang w:eastAsia="es-AR"/>
        </w:rPr>
        <w:t xml:space="preserve">Es la primera vez que la caza furtiva llega a un tribunal oral. Los condenados, que admitieron haber cometido el delito, son </w:t>
      </w:r>
      <w:proofErr w:type="spellStart"/>
      <w:r w:rsidRPr="00BC3BDF">
        <w:rPr>
          <w:rFonts w:ascii="Arial" w:eastAsia="Times New Roman" w:hAnsi="Arial" w:cs="Arial"/>
          <w:color w:val="1C1C1C"/>
          <w:sz w:val="24"/>
          <w:szCs w:val="24"/>
          <w:lang w:eastAsia="es-AR"/>
        </w:rPr>
        <w:t>Viterman</w:t>
      </w:r>
      <w:proofErr w:type="spellEnd"/>
      <w:r w:rsidRPr="00BC3BDF">
        <w:rPr>
          <w:rFonts w:ascii="Arial" w:eastAsia="Times New Roman" w:hAnsi="Arial" w:cs="Arial"/>
          <w:color w:val="1C1C1C"/>
          <w:sz w:val="24"/>
          <w:szCs w:val="24"/>
          <w:lang w:eastAsia="es-AR"/>
        </w:rPr>
        <w:t xml:space="preserve"> Ponce de León, Walter Hugo Ponce de León, Claudio Hugo Cisneros y Máximo Cisneros. El hecho ocurrió en julio del año pasado en Formosa y </w:t>
      </w:r>
      <w:hyperlink r:id="rId11" w:history="1">
        <w:r w:rsidRPr="000E4AB8">
          <w:rPr>
            <w:rFonts w:ascii="Arial" w:eastAsia="Times New Roman" w:hAnsi="Arial" w:cs="Arial"/>
            <w:color w:val="0000FF"/>
            <w:sz w:val="24"/>
            <w:szCs w:val="24"/>
            <w:u w:val="single"/>
            <w:lang w:eastAsia="es-AR"/>
          </w:rPr>
          <w:t>generó el rechazo</w:t>
        </w:r>
      </w:hyperlink>
      <w:r w:rsidRPr="00BC3BDF">
        <w:rPr>
          <w:rFonts w:ascii="Arial" w:eastAsia="Times New Roman" w:hAnsi="Arial" w:cs="Arial"/>
          <w:color w:val="1C1C1C"/>
          <w:sz w:val="24"/>
          <w:szCs w:val="24"/>
          <w:lang w:eastAsia="es-AR"/>
        </w:rPr>
        <w:t> de la sociedad, no sólo por la caza ilegal, sino también por la difusión de las imágenes en redes sociales.</w:t>
      </w:r>
    </w:p>
    <w:p w:rsidR="00BC3BDF" w:rsidRPr="000E4AB8" w:rsidRDefault="00BC3BDF" w:rsidP="000E4AB8">
      <w:pPr>
        <w:pStyle w:val="NormalWeb"/>
        <w:pBdr>
          <w:top w:val="single" w:sz="4" w:space="1" w:color="auto"/>
          <w:left w:val="single" w:sz="4" w:space="4" w:color="auto"/>
          <w:bottom w:val="single" w:sz="4" w:space="1" w:color="auto"/>
          <w:right w:val="single" w:sz="4" w:space="4" w:color="auto"/>
        </w:pBdr>
        <w:shd w:val="clear" w:color="auto" w:fill="FFFFFF"/>
        <w:spacing w:before="240" w:beforeAutospacing="0" w:after="480" w:afterAutospacing="0"/>
        <w:rPr>
          <w:rFonts w:ascii="Arial" w:hAnsi="Arial" w:cs="Arial"/>
          <w:color w:val="1C1C1C"/>
        </w:rPr>
      </w:pPr>
      <w:r w:rsidRPr="000E4AB8">
        <w:rPr>
          <w:rFonts w:ascii="Arial" w:hAnsi="Arial" w:cs="Arial"/>
          <w:color w:val="1C1C1C"/>
        </w:rPr>
        <w:t>El Yaguareté fue declarado Monumento Natural Provincial en Formosa (Ley 1.673) en 2018  y desde 2001 es Monumento Natural Nacional (la Ley 25.463). Sin embargo, se encuentra en Peligro Crítico. La población total del yaguareté en Argentina es de cerca de 250  ejemplares.</w:t>
      </w:r>
    </w:p>
    <w:p w:rsidR="00BC3BDF" w:rsidRPr="000E4AB8" w:rsidRDefault="00BC3BDF" w:rsidP="000E4AB8">
      <w:pPr>
        <w:pStyle w:val="NormalWeb"/>
        <w:pBdr>
          <w:top w:val="single" w:sz="4" w:space="1" w:color="auto"/>
          <w:left w:val="single" w:sz="4" w:space="4" w:color="auto"/>
          <w:bottom w:val="single" w:sz="4" w:space="1" w:color="auto"/>
          <w:right w:val="single" w:sz="4" w:space="4" w:color="auto"/>
        </w:pBdr>
        <w:shd w:val="clear" w:color="auto" w:fill="FFFFFF"/>
        <w:spacing w:before="240" w:beforeAutospacing="0" w:after="480" w:afterAutospacing="0"/>
        <w:rPr>
          <w:rFonts w:ascii="Arial" w:hAnsi="Arial" w:cs="Arial"/>
          <w:color w:val="1C1C1C"/>
        </w:rPr>
      </w:pPr>
      <w:r w:rsidRPr="000E4AB8">
        <w:rPr>
          <w:rFonts w:ascii="Arial" w:hAnsi="Arial" w:cs="Arial"/>
          <w:color w:val="1C1C1C"/>
        </w:rPr>
        <w:t>En 2019, Greenpeace elevó un amparo ante la Corte Suprema de Justicia de la Nación, en representación de los últimos 20 yaguaretés que se estiman sobreviven en el Gran Chaco Argentino, para que se prohíban los desmontes en sus territorios.</w:t>
      </w:r>
    </w:p>
    <w:p w:rsidR="002B4285" w:rsidRDefault="000E4AB8" w:rsidP="00BC3BDF">
      <w:pPr>
        <w:pStyle w:val="Prrafodelista"/>
        <w:numPr>
          <w:ilvl w:val="0"/>
          <w:numId w:val="45"/>
        </w:numPr>
      </w:pPr>
      <w:r>
        <w:t>Lee el siguiente texto y determina si se trata de una editorial o carta de lector. Justifica en base a la teoría estudiada.</w:t>
      </w:r>
    </w:p>
    <w:p w:rsidR="000E4AB8" w:rsidRDefault="000E4AB8" w:rsidP="000E4AB8">
      <w:pPr>
        <w:pStyle w:val="Prrafodelista"/>
      </w:pPr>
    </w:p>
    <w:p w:rsidR="000E4AB8" w:rsidRDefault="000E4AB8" w:rsidP="000E4AB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2D2D2D"/>
          <w:sz w:val="29"/>
          <w:szCs w:val="29"/>
        </w:rPr>
      </w:pPr>
      <w:r>
        <w:rPr>
          <w:rStyle w:val="Textoennegrita"/>
          <w:rFonts w:ascii="Arial" w:hAnsi="Arial" w:cs="Arial"/>
          <w:color w:val="2D2D2D"/>
          <w:sz w:val="29"/>
          <w:szCs w:val="29"/>
        </w:rPr>
        <w:t>Bancos sin servicio</w:t>
      </w:r>
    </w:p>
    <w:p w:rsidR="000E4AB8" w:rsidRDefault="000E4AB8" w:rsidP="000E4AB8">
      <w:pPr>
        <w:pStyle w:val="NormalWeb"/>
        <w:pBdr>
          <w:top w:val="single" w:sz="4" w:space="1" w:color="auto"/>
          <w:left w:val="single" w:sz="4" w:space="4" w:color="auto"/>
          <w:bottom w:val="single" w:sz="4" w:space="1" w:color="auto"/>
          <w:right w:val="single" w:sz="4" w:space="4" w:color="auto"/>
        </w:pBdr>
        <w:spacing w:before="0" w:beforeAutospacing="0" w:after="365" w:afterAutospacing="0"/>
        <w:rPr>
          <w:rFonts w:ascii="Arial" w:hAnsi="Arial" w:cs="Arial"/>
          <w:color w:val="2D2D2D"/>
          <w:sz w:val="29"/>
          <w:szCs w:val="29"/>
        </w:rPr>
      </w:pPr>
      <w:r>
        <w:rPr>
          <w:rFonts w:ascii="Arial" w:hAnsi="Arial" w:cs="Arial"/>
          <w:color w:val="2D2D2D"/>
          <w:sz w:val="29"/>
          <w:szCs w:val="29"/>
        </w:rPr>
        <w:t>El servicio bancario es ineludible. No podemos prescindir del banco para cobrar nuestro sueldo, realizar los pagos habituales y tener nuestros ahorros o deudas en forma de préstamos. No remuneran en absoluto nuestros ahorros, pero sí cobran intereses cuando prestan esos ahorros a otros clientes. Quieren que no aparezcamos por sus oficinas. Leo que un banco va a empezar a cobrar por cualquier operación que se realice en la caja de cualquier oficina. Pienso en gente sin educación en recursos informáticos o digitales. Espero que alguien frene este abuso.</w:t>
      </w:r>
    </w:p>
    <w:p w:rsidR="000E4AB8" w:rsidRDefault="000E4AB8" w:rsidP="000E4AB8">
      <w:pPr>
        <w:pStyle w:val="NormalWeb"/>
        <w:pBdr>
          <w:top w:val="single" w:sz="4" w:space="1" w:color="auto"/>
          <w:left w:val="single" w:sz="4" w:space="4" w:color="auto"/>
          <w:bottom w:val="single" w:sz="4" w:space="1" w:color="auto"/>
          <w:right w:val="single" w:sz="4" w:space="4" w:color="auto"/>
        </w:pBdr>
        <w:spacing w:before="0" w:beforeAutospacing="0" w:after="365" w:afterAutospacing="0"/>
        <w:rPr>
          <w:rFonts w:ascii="Arial" w:hAnsi="Arial" w:cs="Arial"/>
          <w:color w:val="2D2D2D"/>
          <w:sz w:val="29"/>
          <w:szCs w:val="29"/>
        </w:rPr>
      </w:pPr>
      <w:r>
        <w:rPr>
          <w:rFonts w:ascii="Arial" w:hAnsi="Arial" w:cs="Arial"/>
          <w:color w:val="2D2D2D"/>
          <w:sz w:val="29"/>
          <w:szCs w:val="29"/>
        </w:rPr>
        <w:t>Francisco Plaza Pastor, Madrid.</w:t>
      </w:r>
    </w:p>
    <w:p w:rsidR="000E4AB8" w:rsidRDefault="000E4AB8" w:rsidP="000E4AB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2D2D2D"/>
          <w:sz w:val="29"/>
          <w:szCs w:val="29"/>
        </w:rPr>
      </w:pPr>
      <w:r>
        <w:rPr>
          <w:rStyle w:val="nfasis"/>
          <w:rFonts w:ascii="Arial" w:hAnsi="Arial" w:cs="Arial"/>
          <w:color w:val="2D2D2D"/>
          <w:sz w:val="29"/>
          <w:szCs w:val="29"/>
        </w:rPr>
        <w:t>“Bancos sin servicio”, carta publicada en el diario</w:t>
      </w:r>
      <w:r>
        <w:rPr>
          <w:rFonts w:ascii="Arial" w:hAnsi="Arial" w:cs="Arial"/>
          <w:color w:val="2D2D2D"/>
          <w:sz w:val="29"/>
          <w:szCs w:val="29"/>
        </w:rPr>
        <w:t> </w:t>
      </w:r>
      <w:hyperlink r:id="rId12" w:tgtFrame="_blank" w:history="1">
        <w:r>
          <w:rPr>
            <w:rStyle w:val="Hipervnculo"/>
            <w:rFonts w:ascii="Arial" w:hAnsi="Arial" w:cs="Arial"/>
            <w:color w:val="1B4AA7"/>
            <w:sz w:val="29"/>
            <w:szCs w:val="29"/>
          </w:rPr>
          <w:t>El País</w:t>
        </w:r>
      </w:hyperlink>
      <w:r>
        <w:rPr>
          <w:rFonts w:ascii="Arial" w:hAnsi="Arial" w:cs="Arial"/>
          <w:color w:val="2D2D2D"/>
          <w:sz w:val="29"/>
          <w:szCs w:val="29"/>
        </w:rPr>
        <w:t>,</w:t>
      </w:r>
      <w:r>
        <w:rPr>
          <w:rStyle w:val="nfasis"/>
          <w:rFonts w:ascii="Arial" w:hAnsi="Arial" w:cs="Arial"/>
          <w:color w:val="2D2D2D"/>
          <w:sz w:val="29"/>
          <w:szCs w:val="29"/>
        </w:rPr>
        <w:t> 23 de octubre de 2022.</w:t>
      </w:r>
    </w:p>
    <w:p w:rsidR="000E4AB8" w:rsidRDefault="000E4AB8" w:rsidP="000E4AB8">
      <w:pPr>
        <w:pStyle w:val="Prrafodelista"/>
      </w:pPr>
    </w:p>
    <w:p w:rsidR="000E4AB8" w:rsidRDefault="000E4AB8" w:rsidP="000E4AB8">
      <w:pPr>
        <w:pStyle w:val="Prrafodelista"/>
        <w:numPr>
          <w:ilvl w:val="0"/>
          <w:numId w:val="45"/>
        </w:numPr>
      </w:pPr>
      <w:r>
        <w:lastRenderedPageBreak/>
        <w:t>Completa los conceptos</w:t>
      </w:r>
    </w:p>
    <w:p w:rsidR="000E4AB8" w:rsidRDefault="000E4AB8" w:rsidP="000E4AB8">
      <w:pPr>
        <w:pStyle w:val="Prrafodelista"/>
      </w:pPr>
      <w:r>
        <w:t xml:space="preserve">El Barroco fue___________________________________________________ que surgió en _____________________ entre los siglos_____________________________. </w:t>
      </w:r>
    </w:p>
    <w:p w:rsidR="000E4AB8" w:rsidRDefault="000E4AB8" w:rsidP="000E4AB8">
      <w:pPr>
        <w:pStyle w:val="Prrafodelista"/>
      </w:pPr>
      <w:r>
        <w:t>Sus principales características son</w:t>
      </w:r>
      <w:proofErr w:type="gramStart"/>
      <w:r>
        <w:t>:_</w:t>
      </w:r>
      <w:proofErr w:type="gramEnd"/>
      <w:r>
        <w:t>____________________________________________</w:t>
      </w:r>
    </w:p>
    <w:p w:rsidR="000E4AB8" w:rsidRDefault="000E4AB8" w:rsidP="000E4AB8">
      <w:pPr>
        <w:pStyle w:val="Prrafodelista"/>
      </w:pPr>
      <w:r>
        <w:t>Sus máximos representantes son</w:t>
      </w:r>
      <w:proofErr w:type="gramStart"/>
      <w:r>
        <w:t>::_</w:t>
      </w:r>
      <w:proofErr w:type="gramEnd"/>
      <w:r>
        <w:t>_________________________________________</w:t>
      </w:r>
    </w:p>
    <w:p w:rsidR="000E4AB8" w:rsidRDefault="000E4AB8" w:rsidP="000E4AB8">
      <w:pPr>
        <w:pStyle w:val="Prrafodelista"/>
      </w:pPr>
      <w:r>
        <w:t>La obra leída en clase que pertenece a este período es____________________________</w:t>
      </w:r>
    </w:p>
    <w:p w:rsidR="00CE133D" w:rsidRDefault="00CE133D" w:rsidP="000E4AB8">
      <w:pPr>
        <w:pStyle w:val="Prrafodelista"/>
      </w:pPr>
    </w:p>
    <w:p w:rsidR="00CE133D" w:rsidRDefault="00CE133D" w:rsidP="00CE133D">
      <w:pPr>
        <w:pStyle w:val="Prrafodelista"/>
        <w:numPr>
          <w:ilvl w:val="0"/>
          <w:numId w:val="45"/>
        </w:numPr>
      </w:pPr>
      <w:r>
        <w:t>“El ingenioso hidalgo don Quijote de La Mancha” de Miguel Cervantes Saavedra</w:t>
      </w:r>
    </w:p>
    <w:p w:rsidR="00CE133D" w:rsidRDefault="00CE133D" w:rsidP="00CE133D">
      <w:pPr>
        <w:pStyle w:val="Prrafodelista"/>
      </w:pPr>
    </w:p>
    <w:p w:rsidR="00CE133D" w:rsidRDefault="00CE133D" w:rsidP="00CE133D">
      <w:pPr>
        <w:pStyle w:val="Prrafodelista"/>
        <w:numPr>
          <w:ilvl w:val="0"/>
          <w:numId w:val="47"/>
        </w:numPr>
      </w:pPr>
      <w:r>
        <w:t>¿Por qué el manchego cae en la locura? ¿En qué consiste?</w:t>
      </w:r>
    </w:p>
    <w:p w:rsidR="00CE133D" w:rsidRDefault="00CE133D" w:rsidP="00CE133D">
      <w:pPr>
        <w:pStyle w:val="Prrafodelista"/>
        <w:numPr>
          <w:ilvl w:val="0"/>
          <w:numId w:val="47"/>
        </w:numPr>
      </w:pPr>
      <w:r>
        <w:t>¿Qué elementos utiliza para convertirse en caballero andante?</w:t>
      </w:r>
    </w:p>
    <w:p w:rsidR="00CE133D" w:rsidRDefault="00CE133D" w:rsidP="00CE133D">
      <w:pPr>
        <w:pStyle w:val="Prrafodelista"/>
        <w:numPr>
          <w:ilvl w:val="0"/>
          <w:numId w:val="47"/>
        </w:numPr>
      </w:pPr>
      <w:r>
        <w:t>¿Qué ideales lo movilizan?</w:t>
      </w:r>
    </w:p>
    <w:p w:rsidR="00CE133D" w:rsidRDefault="00CE133D" w:rsidP="00CE133D">
      <w:pPr>
        <w:pStyle w:val="Prrafodelista"/>
        <w:numPr>
          <w:ilvl w:val="0"/>
          <w:numId w:val="47"/>
        </w:numPr>
      </w:pPr>
      <w:r>
        <w:t>¿Cuáles son los planos que se presentan en la novela? Ejemplifica</w:t>
      </w:r>
    </w:p>
    <w:p w:rsidR="00CE133D" w:rsidRDefault="00CE133D" w:rsidP="00CE133D">
      <w:pPr>
        <w:pStyle w:val="Prrafodelista"/>
        <w:numPr>
          <w:ilvl w:val="0"/>
          <w:numId w:val="47"/>
        </w:numPr>
      </w:pPr>
      <w:r>
        <w:t>¿Qué explicaciones da don quijote cuando Sancho le quiere hacer ver la realidad?</w:t>
      </w:r>
    </w:p>
    <w:sectPr w:rsidR="00CE13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2.15pt;height:13.1pt" o:bullet="t">
        <v:imagedata r:id="rId1" o:title="BD21302_"/>
      </v:shape>
    </w:pict>
  </w:numPicBullet>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5B503B3"/>
    <w:multiLevelType w:val="hybridMultilevel"/>
    <w:tmpl w:val="5336A4FC"/>
    <w:lvl w:ilvl="0" w:tplc="79D0B6C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7D10EC9"/>
    <w:multiLevelType w:val="hybridMultilevel"/>
    <w:tmpl w:val="84B6A5DC"/>
    <w:lvl w:ilvl="0" w:tplc="4636E54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8A078D2"/>
    <w:multiLevelType w:val="hybridMultilevel"/>
    <w:tmpl w:val="2F9A840A"/>
    <w:lvl w:ilvl="0" w:tplc="7FDEFB9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8D61C58"/>
    <w:multiLevelType w:val="hybridMultilevel"/>
    <w:tmpl w:val="F0C6814C"/>
    <w:lvl w:ilvl="0" w:tplc="8896446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3">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11"/>
  </w:num>
  <w:num w:numId="3">
    <w:abstractNumId w:val="37"/>
  </w:num>
  <w:num w:numId="4">
    <w:abstractNumId w:val="2"/>
  </w:num>
  <w:num w:numId="5">
    <w:abstractNumId w:val="44"/>
  </w:num>
  <w:num w:numId="6">
    <w:abstractNumId w:val="41"/>
  </w:num>
  <w:num w:numId="7">
    <w:abstractNumId w:val="43"/>
  </w:num>
  <w:num w:numId="8">
    <w:abstractNumId w:val="14"/>
  </w:num>
  <w:num w:numId="9">
    <w:abstractNumId w:val="24"/>
  </w:num>
  <w:num w:numId="10">
    <w:abstractNumId w:val="4"/>
  </w:num>
  <w:num w:numId="11">
    <w:abstractNumId w:val="5"/>
  </w:num>
  <w:num w:numId="12">
    <w:abstractNumId w:val="16"/>
  </w:num>
  <w:num w:numId="13">
    <w:abstractNumId w:val="13"/>
  </w:num>
  <w:num w:numId="14">
    <w:abstractNumId w:val="31"/>
  </w:num>
  <w:num w:numId="15">
    <w:abstractNumId w:val="22"/>
  </w:num>
  <w:num w:numId="16">
    <w:abstractNumId w:val="38"/>
  </w:num>
  <w:num w:numId="17">
    <w:abstractNumId w:val="28"/>
  </w:num>
  <w:num w:numId="18">
    <w:abstractNumId w:val="7"/>
  </w:num>
  <w:num w:numId="19">
    <w:abstractNumId w:val="34"/>
  </w:num>
  <w:num w:numId="20">
    <w:abstractNumId w:val="3"/>
  </w:num>
  <w:num w:numId="21">
    <w:abstractNumId w:val="0"/>
  </w:num>
  <w:num w:numId="22">
    <w:abstractNumId w:val="23"/>
  </w:num>
  <w:num w:numId="23">
    <w:abstractNumId w:val="25"/>
  </w:num>
  <w:num w:numId="24">
    <w:abstractNumId w:val="21"/>
  </w:num>
  <w:num w:numId="25">
    <w:abstractNumId w:val="29"/>
  </w:num>
  <w:num w:numId="26">
    <w:abstractNumId w:val="1"/>
  </w:num>
  <w:num w:numId="27">
    <w:abstractNumId w:val="27"/>
  </w:num>
  <w:num w:numId="28">
    <w:abstractNumId w:val="32"/>
  </w:num>
  <w:num w:numId="29">
    <w:abstractNumId w:val="33"/>
  </w:num>
  <w:num w:numId="30">
    <w:abstractNumId w:val="17"/>
  </w:num>
  <w:num w:numId="31">
    <w:abstractNumId w:val="19"/>
  </w:num>
  <w:num w:numId="32">
    <w:abstractNumId w:val="6"/>
  </w:num>
  <w:num w:numId="33">
    <w:abstractNumId w:val="12"/>
  </w:num>
  <w:num w:numId="34">
    <w:abstractNumId w:val="39"/>
  </w:num>
  <w:num w:numId="35">
    <w:abstractNumId w:val="46"/>
  </w:num>
  <w:num w:numId="36">
    <w:abstractNumId w:val="18"/>
  </w:num>
  <w:num w:numId="37">
    <w:abstractNumId w:val="20"/>
  </w:num>
  <w:num w:numId="38">
    <w:abstractNumId w:val="35"/>
  </w:num>
  <w:num w:numId="39">
    <w:abstractNumId w:val="40"/>
  </w:num>
  <w:num w:numId="40">
    <w:abstractNumId w:val="8"/>
  </w:num>
  <w:num w:numId="41">
    <w:abstractNumId w:val="9"/>
  </w:num>
  <w:num w:numId="42">
    <w:abstractNumId w:val="15"/>
  </w:num>
  <w:num w:numId="43">
    <w:abstractNumId w:val="45"/>
  </w:num>
  <w:num w:numId="44">
    <w:abstractNumId w:val="10"/>
  </w:num>
  <w:num w:numId="45">
    <w:abstractNumId w:val="30"/>
  </w:num>
  <w:num w:numId="46">
    <w:abstractNumId w:val="42"/>
  </w:num>
  <w:num w:numId="47">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0E4AB8"/>
    <w:rsid w:val="001D4412"/>
    <w:rsid w:val="002A7655"/>
    <w:rsid w:val="002B4285"/>
    <w:rsid w:val="002C41AA"/>
    <w:rsid w:val="002F4E05"/>
    <w:rsid w:val="003806B0"/>
    <w:rsid w:val="003D593B"/>
    <w:rsid w:val="00452DB3"/>
    <w:rsid w:val="00461A3E"/>
    <w:rsid w:val="004A1C87"/>
    <w:rsid w:val="004D1E49"/>
    <w:rsid w:val="00575899"/>
    <w:rsid w:val="00597AD6"/>
    <w:rsid w:val="005E4303"/>
    <w:rsid w:val="0060507A"/>
    <w:rsid w:val="00686998"/>
    <w:rsid w:val="00716DD2"/>
    <w:rsid w:val="007B77FE"/>
    <w:rsid w:val="007C6E8B"/>
    <w:rsid w:val="00806300"/>
    <w:rsid w:val="00816675"/>
    <w:rsid w:val="00913BD7"/>
    <w:rsid w:val="00A55C7F"/>
    <w:rsid w:val="00A6025B"/>
    <w:rsid w:val="00A7689A"/>
    <w:rsid w:val="00A957C0"/>
    <w:rsid w:val="00B43200"/>
    <w:rsid w:val="00BC3BDF"/>
    <w:rsid w:val="00CE133D"/>
    <w:rsid w:val="00D7544D"/>
    <w:rsid w:val="00DA0A32"/>
    <w:rsid w:val="00DA51D6"/>
    <w:rsid w:val="00DD6E44"/>
    <w:rsid w:val="00E16E75"/>
    <w:rsid w:val="00E36CAE"/>
    <w:rsid w:val="00E60F1C"/>
    <w:rsid w:val="00EF4F3A"/>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C3B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 w:type="character" w:customStyle="1" w:styleId="Ttulo1Car">
    <w:name w:val="Título 1 Car"/>
    <w:basedOn w:val="Fuentedeprrafopredeter"/>
    <w:link w:val="Ttulo1"/>
    <w:uiPriority w:val="9"/>
    <w:rsid w:val="00BC3BD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BC3BD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0E4AB8"/>
    <w:rPr>
      <w:i/>
      <w:iCs/>
    </w:rPr>
  </w:style>
  <w:style w:type="character" w:styleId="Hipervnculo">
    <w:name w:val="Hyperlink"/>
    <w:basedOn w:val="Fuentedeprrafopredeter"/>
    <w:uiPriority w:val="99"/>
    <w:semiHidden/>
    <w:unhideWhenUsed/>
    <w:rsid w:val="000E4A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C3B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 w:type="character" w:customStyle="1" w:styleId="Ttulo1Car">
    <w:name w:val="Título 1 Car"/>
    <w:basedOn w:val="Fuentedeprrafopredeter"/>
    <w:link w:val="Ttulo1"/>
    <w:uiPriority w:val="9"/>
    <w:rsid w:val="00BC3BD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BC3BD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0E4AB8"/>
    <w:rPr>
      <w:i/>
      <w:iCs/>
    </w:rPr>
  </w:style>
  <w:style w:type="character" w:styleId="Hipervnculo">
    <w:name w:val="Hyperlink"/>
    <w:basedOn w:val="Fuentedeprrafopredeter"/>
    <w:uiPriority w:val="99"/>
    <w:semiHidden/>
    <w:unhideWhenUsed/>
    <w:rsid w:val="000E4A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6680">
      <w:bodyDiv w:val="1"/>
      <w:marLeft w:val="0"/>
      <w:marRight w:val="0"/>
      <w:marTop w:val="0"/>
      <w:marBottom w:val="0"/>
      <w:divBdr>
        <w:top w:val="none" w:sz="0" w:space="0" w:color="auto"/>
        <w:left w:val="none" w:sz="0" w:space="0" w:color="auto"/>
        <w:bottom w:val="none" w:sz="0" w:space="0" w:color="auto"/>
        <w:right w:val="none" w:sz="0" w:space="0" w:color="auto"/>
      </w:divBdr>
      <w:divsChild>
        <w:div w:id="10301250">
          <w:marLeft w:val="0"/>
          <w:marRight w:val="0"/>
          <w:marTop w:val="0"/>
          <w:marBottom w:val="0"/>
          <w:divBdr>
            <w:top w:val="none" w:sz="0" w:space="0" w:color="auto"/>
            <w:left w:val="none" w:sz="0" w:space="0" w:color="auto"/>
            <w:bottom w:val="none" w:sz="0" w:space="0" w:color="auto"/>
            <w:right w:val="none" w:sz="0" w:space="0" w:color="auto"/>
          </w:divBdr>
          <w:divsChild>
            <w:div w:id="18961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812874675">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610510621">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hyperlink" Target="https://elpais.com/opinion/2022-10-23/el-ruido-y-la-paus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reenpeace.org/argentina/story/problemas/bosques/greenpeace-condena-la-caza-del-yaguarete-y-pide-a-la-corte-suprema-resolucion-de-la-causa-en-defensa-de-la-especie/?gad_source=1&amp;gad_campaignid=21550836651&amp;gbraid=0AAAAAD-1QVggEc4QuQGgGj4d1QdQZVy93&amp;gclid=CjwKCAjw7_DEBhAeEiwAWKiCC9Nv1th35Sn_cnKbjCjPHtGRAA24ZqEQuMgH3TIlmMCEl6OODJoOZxoCGGsQAvD_BwE" TargetMode="Externa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3780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3</cp:revision>
  <dcterms:created xsi:type="dcterms:W3CDTF">2025-08-18T23:47:00Z</dcterms:created>
  <dcterms:modified xsi:type="dcterms:W3CDTF">2025-08-18T23:47:00Z</dcterms:modified>
</cp:coreProperties>
</file>