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26/6/25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2° y 3er trimestre : "Historia 4 , El periodo de entreguerras" Editorial - Estrada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TP 46 "Ficha de Recapitulación (pág.  58)"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 "2do trimestre" 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sz w:val="24"/>
          <w:szCs w:val="20"/>
          <w:lang w:val="en-US"/>
        </w:rPr>
        <w:t>1)- Resolver actividades punto 6) al 11)</w:t>
      </w: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57</Words>
  <Pages>1</Pages>
  <Characters>359</Characters>
  <Application>WPS Office</Application>
  <DocSecurity>0</DocSecurity>
  <Paragraphs>28</Paragraphs>
  <ScaleCrop>false</ScaleCrop>
  <Company>Luffi</Company>
  <LinksUpToDate>false</LinksUpToDate>
  <CharactersWithSpaces>408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2025-06-24T00:13:26Z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