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left="0" w:firstLine="0"/>
        <w:jc w:val="center"/>
        <w:rPr>
          <w:b w:val="0"/>
          <w:u w:val="single"/>
        </w:rPr>
      </w:pPr>
      <w:bookmarkStart w:colFirst="0" w:colLast="0" w:name="_nrnw03t7conb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0"/>
          <w:u w:val="single"/>
          <w:rtl w:val="0"/>
        </w:rPr>
        <w:t xml:space="preserve">PERIODO DE DIAGNÓSTICO</w:t>
        <w:br w:type="textWrapping"/>
      </w:r>
      <w:r w:rsidDel="00000000" w:rsidR="00000000" w:rsidRPr="00000000">
        <w:rPr>
          <w:color w:val="cba67a"/>
          <w:sz w:val="48"/>
          <w:szCs w:val="48"/>
          <w:rtl w:val="0"/>
        </w:rPr>
        <w:t xml:space="preserve">TUTORÍA 5 A</w:t>
      </w:r>
      <w:r w:rsidDel="00000000" w:rsidR="00000000" w:rsidRPr="00000000">
        <w:rPr>
          <w:color w:val="cba67a"/>
          <w:sz w:val="48"/>
          <w:szCs w:val="48"/>
          <w:rtl w:val="0"/>
        </w:rPr>
        <w:br w:type="textWrapping"/>
      </w:r>
      <w:r w:rsidDel="00000000" w:rsidR="00000000" w:rsidRPr="00000000">
        <w:rPr>
          <w:color w:val="0000ff"/>
          <w:sz w:val="48"/>
          <w:szCs w:val="48"/>
          <w:rtl w:val="0"/>
        </w:rPr>
        <w:br w:type="textWrapping"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Clase N° 4 27-03-25</w:t>
      </w:r>
    </w:p>
    <w:p w:rsidR="00000000" w:rsidDel="00000000" w:rsidP="00000000" w:rsidRDefault="00000000" w:rsidRPr="00000000" w14:paraId="00000004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943600" cy="38100"/>
            <wp:effectExtent b="0" l="0" r="0" t="0"/>
            <wp:docPr descr="línea horizontal" id="5" name="image3.png"/>
            <a:graphic>
              <a:graphicData uri="http://schemas.openxmlformats.org/drawingml/2006/picture">
                <pic:pic>
                  <pic:nvPicPr>
                    <pic:cNvPr descr="línea horizontal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Buenos días alumnos, por motivos de salud no me encuentro presencialmente hoy en la clase, pero los invito a continuar reflexionando sobre la organización y la implementación de hábitos de estudios para este nuevo año. 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Retomando lo dialogado la clase pasada, sobre cómo encarar las nuevas materias que tienen este año, en la que encuentran complicaciones a la hora de entenderlas. 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Recordar: 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La importancia de poder conocer la definición de la materia que estoy estudiando, cuales son sus objetivos. 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la importancia de poder localizar en que contexto historico y geografico se encuentra la corriente de pensamiento a abordar, para poder comprender el porqué del pensamiento o las teorías establecidas, para ello también es importante conocer mínimamente una parte de la biografía del pensador estudiado para poder ubicarlo de manera correcta en su contexto histórico social.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Recordar que todo proceso de aprendizaje lleva su tiempo y práctica, conlleva responsabilidad, dedicación y compromiso. 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continuación les comparto el siguiente material a modo de guía para poder ubicar y diferenciar los diferentes periodos a lo largo de la historia, los cuales marcaron una corriente de pensamiento en la filosofía. 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jc w:val="both"/>
        <w:rPr>
          <w:b w:val="1"/>
          <w:sz w:val="34"/>
          <w:szCs w:val="34"/>
        </w:rPr>
      </w:pPr>
      <w:bookmarkStart w:colFirst="0" w:colLast="0" w:name="_xbzdesu7dhi9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La Historia de la Filosofía: Concepción Clásica, Cristiana y Moderna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historia de la filosofía occidental se puede dividir en tres grandes períodos, cada uno con sus propias características y preocupaciones: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Concepción Clásica (Siglos VI a.C. - V d.C.)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Características: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Cosmocéntrica:</w:t>
      </w:r>
      <w:r w:rsidDel="00000000" w:rsidR="00000000" w:rsidRPr="00000000">
        <w:rPr>
          <w:sz w:val="24"/>
          <w:szCs w:val="24"/>
          <w:rtl w:val="0"/>
        </w:rPr>
        <w:t xml:space="preserve"> El universo y la naturaleza eran el centro de la reflexión filosófica.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Racionalista:</w:t>
      </w:r>
      <w:r w:rsidDel="00000000" w:rsidR="00000000" w:rsidRPr="00000000">
        <w:rPr>
          <w:sz w:val="24"/>
          <w:szCs w:val="24"/>
          <w:rtl w:val="0"/>
        </w:rPr>
        <w:t xml:space="preserve"> Se buscaba comprender el mundo a través de la razón y la lógica, dejando de lado las explicaciones míticas.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Antropocéntrica:</w:t>
      </w:r>
      <w:r w:rsidDel="00000000" w:rsidR="00000000" w:rsidRPr="00000000">
        <w:rPr>
          <w:sz w:val="24"/>
          <w:szCs w:val="24"/>
          <w:rtl w:val="0"/>
        </w:rPr>
        <w:t xml:space="preserve"> Con el tiempo, el ser humano comenzó a ocupar un lugar central en la filosofía, explorando su naturaleza, su ética y su papel en la sociedad.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Principales filósofos: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Presocráticos:</w:t>
      </w:r>
      <w:r w:rsidDel="00000000" w:rsidR="00000000" w:rsidRPr="00000000">
        <w:rPr>
          <w:sz w:val="24"/>
          <w:szCs w:val="24"/>
          <w:rtl w:val="0"/>
        </w:rPr>
        <w:t xml:space="preserve"> Tales de Mileto, Heráclito, Parménides (se centraron en la naturaleza y el origen del universo).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Sofistas:</w:t>
      </w:r>
      <w:r w:rsidDel="00000000" w:rsidR="00000000" w:rsidRPr="00000000">
        <w:rPr>
          <w:sz w:val="24"/>
          <w:szCs w:val="24"/>
          <w:rtl w:val="0"/>
        </w:rPr>
        <w:t xml:space="preserve"> Protágoras, Gorgias (cuestionaron la verdad objetiva y se enfocaron en la retórica y la persuasión).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Sócrates:</w:t>
      </w:r>
      <w:r w:rsidDel="00000000" w:rsidR="00000000" w:rsidRPr="00000000">
        <w:rPr>
          <w:sz w:val="24"/>
          <w:szCs w:val="24"/>
          <w:rtl w:val="0"/>
        </w:rPr>
        <w:t xml:space="preserve"> Introdujo el método de la mayéutica y se centró en la ética y la búsqueda de la verdad.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Platón:</w:t>
      </w:r>
      <w:r w:rsidDel="00000000" w:rsidR="00000000" w:rsidRPr="00000000">
        <w:rPr>
          <w:sz w:val="24"/>
          <w:szCs w:val="24"/>
          <w:rtl w:val="0"/>
        </w:rPr>
        <w:t xml:space="preserve"> Desarrolló la teoría de las Ideas y exploró la política, la educación y la metafísica.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after="240" w:before="0" w:before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Aristóteles:</w:t>
      </w:r>
      <w:r w:rsidDel="00000000" w:rsidR="00000000" w:rsidRPr="00000000">
        <w:rPr>
          <w:sz w:val="24"/>
          <w:szCs w:val="24"/>
          <w:rtl w:val="0"/>
        </w:rPr>
        <w:t xml:space="preserve"> Sistematizó el conocimiento filosófico y científico, abarcando la lógica, la física, la ética y la política.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Concepción Cristiana (Siglos I d.C. - XV d.C.)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Características: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Teocéntrica:</w:t>
      </w:r>
      <w:r w:rsidDel="00000000" w:rsidR="00000000" w:rsidRPr="00000000">
        <w:rPr>
          <w:sz w:val="24"/>
          <w:szCs w:val="24"/>
          <w:rtl w:val="0"/>
        </w:rPr>
        <w:t xml:space="preserve"> Dios se convirtió en el centro de la filosofía, y la fe y la razón se entrelazaron en la búsqueda de la verdad.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Influencia del cristianismo:</w:t>
      </w:r>
      <w:r w:rsidDel="00000000" w:rsidR="00000000" w:rsidRPr="00000000">
        <w:rPr>
          <w:sz w:val="24"/>
          <w:szCs w:val="24"/>
          <w:rtl w:val="0"/>
        </w:rPr>
        <w:t xml:space="preserve"> La filosofía se utilizó para comprender y defender las enseñanzas cristianas.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Patrística:</w:t>
      </w:r>
      <w:r w:rsidDel="00000000" w:rsidR="00000000" w:rsidRPr="00000000">
        <w:rPr>
          <w:sz w:val="24"/>
          <w:szCs w:val="24"/>
          <w:rtl w:val="0"/>
        </w:rPr>
        <w:t xml:space="preserve"> Los primeros Padres de la Iglesia (como San Agustín) combinaron la filosofía griega con la teología cristiana.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Escolástica:</w:t>
      </w:r>
      <w:r w:rsidDel="00000000" w:rsidR="00000000" w:rsidRPr="00000000">
        <w:rPr>
          <w:sz w:val="24"/>
          <w:szCs w:val="24"/>
          <w:rtl w:val="0"/>
        </w:rPr>
        <w:t xml:space="preserve"> Filósofos medievales (como Santo Tomás de Aquino) intentaron reconciliar la fe y la razón a través de la lógica aristotélica.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Principales filósofos: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San Agustín:</w:t>
      </w:r>
      <w:r w:rsidDel="00000000" w:rsidR="00000000" w:rsidRPr="00000000">
        <w:rPr>
          <w:sz w:val="24"/>
          <w:szCs w:val="24"/>
          <w:rtl w:val="0"/>
        </w:rPr>
        <w:t xml:space="preserve"> Desarrolló la filosofía cristiana basada en las ideas de Platón.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240" w:before="0" w:before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Santo Tomás de Aquino:</w:t>
      </w:r>
      <w:r w:rsidDel="00000000" w:rsidR="00000000" w:rsidRPr="00000000">
        <w:rPr>
          <w:sz w:val="24"/>
          <w:szCs w:val="24"/>
          <w:rtl w:val="0"/>
        </w:rPr>
        <w:t xml:space="preserve"> Intentó sintetizar la filosofía aristotélica con la teología cristiana.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Concepción de la Edad Moderna (Siglos XVI d.C. - XVIII d.C.)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Características: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Antropocéntrica:</w:t>
      </w:r>
      <w:r w:rsidDel="00000000" w:rsidR="00000000" w:rsidRPr="00000000">
        <w:rPr>
          <w:sz w:val="24"/>
          <w:szCs w:val="24"/>
          <w:rtl w:val="0"/>
        </w:rPr>
        <w:t xml:space="preserve"> El ser humano volvió a ser el centro de la reflexión filosófica, con énfasis en la razón y la experiencia individual.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Racionalismo:</w:t>
      </w:r>
      <w:r w:rsidDel="00000000" w:rsidR="00000000" w:rsidRPr="00000000">
        <w:rPr>
          <w:sz w:val="24"/>
          <w:szCs w:val="24"/>
          <w:rtl w:val="0"/>
        </w:rPr>
        <w:t xml:space="preserve"> Filósofos como Descartes enfatizaron la razón como la principal fuente de conocimiento.</w:t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Empirismo:</w:t>
      </w:r>
      <w:r w:rsidDel="00000000" w:rsidR="00000000" w:rsidRPr="00000000">
        <w:rPr>
          <w:sz w:val="24"/>
          <w:szCs w:val="24"/>
          <w:rtl w:val="0"/>
        </w:rPr>
        <w:t xml:space="preserve"> Filósofos como Locke y Hume destacaron la importancia de la experiencia sensorial en la adquisición del conocimiento.</w:t>
      </w:r>
    </w:p>
    <w:p w:rsidR="00000000" w:rsidDel="00000000" w:rsidP="00000000" w:rsidRDefault="00000000" w:rsidRPr="00000000" w14:paraId="0000002B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Ilustración:</w:t>
      </w:r>
      <w:r w:rsidDel="00000000" w:rsidR="00000000" w:rsidRPr="00000000">
        <w:rPr>
          <w:sz w:val="24"/>
          <w:szCs w:val="24"/>
          <w:rtl w:val="0"/>
        </w:rPr>
        <w:t xml:space="preserve"> Movimiento filosófico que promovió la razón, la ciencia y los derechos humanos.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Principales filósofos:</w:t>
      </w:r>
    </w:p>
    <w:p w:rsidR="00000000" w:rsidDel="00000000" w:rsidP="00000000" w:rsidRDefault="00000000" w:rsidRPr="00000000" w14:paraId="0000002D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René Descartes:</w:t>
      </w:r>
      <w:r w:rsidDel="00000000" w:rsidR="00000000" w:rsidRPr="00000000">
        <w:rPr>
          <w:sz w:val="24"/>
          <w:szCs w:val="24"/>
          <w:rtl w:val="0"/>
        </w:rPr>
        <w:t xml:space="preserve"> Padre del racionalismo moderno, famoso por su "Cogito, ergo sum" ("Pienso, luego existo").</w:t>
      </w:r>
    </w:p>
    <w:p w:rsidR="00000000" w:rsidDel="00000000" w:rsidP="00000000" w:rsidRDefault="00000000" w:rsidRPr="00000000" w14:paraId="0000002E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John Locke:</w:t>
      </w:r>
      <w:r w:rsidDel="00000000" w:rsidR="00000000" w:rsidRPr="00000000">
        <w:rPr>
          <w:sz w:val="24"/>
          <w:szCs w:val="24"/>
          <w:rtl w:val="0"/>
        </w:rPr>
        <w:t xml:space="preserve"> Defensor del empirismo y del liberalismo político.</w:t>
      </w:r>
    </w:p>
    <w:p w:rsidR="00000000" w:rsidDel="00000000" w:rsidP="00000000" w:rsidRDefault="00000000" w:rsidRPr="00000000" w14:paraId="0000002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David Hume:</w:t>
      </w:r>
      <w:r w:rsidDel="00000000" w:rsidR="00000000" w:rsidRPr="00000000">
        <w:rPr>
          <w:sz w:val="24"/>
          <w:szCs w:val="24"/>
          <w:rtl w:val="0"/>
        </w:rPr>
        <w:t xml:space="preserve"> Filósofo empirista que cuestionó la causalidad y la existencia de ideas innatas.</w:t>
      </w:r>
    </w:p>
    <w:p w:rsidR="00000000" w:rsidDel="00000000" w:rsidP="00000000" w:rsidRDefault="00000000" w:rsidRPr="00000000" w14:paraId="00000030">
      <w:pPr>
        <w:numPr>
          <w:ilvl w:val="1"/>
          <w:numId w:val="5"/>
        </w:numPr>
        <w:spacing w:after="240" w:before="0" w:beforeAutospacing="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Immanuel Kant:</w:t>
      </w:r>
      <w:r w:rsidDel="00000000" w:rsidR="00000000" w:rsidRPr="00000000">
        <w:rPr>
          <w:sz w:val="24"/>
          <w:szCs w:val="24"/>
          <w:rtl w:val="0"/>
        </w:rPr>
        <w:t xml:space="preserve"> Intentó reconciliar el racionalismo y el empirismo, y desarrolló la filosofía trascendental.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Comprender esta división de la historia de la filosofía es fundamental ya que les permitirá:</w:t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Contextualizar el pensamiento filosófico:</w:t>
      </w:r>
      <w:r w:rsidDel="00000000" w:rsidR="00000000" w:rsidRPr="00000000">
        <w:rPr>
          <w:sz w:val="24"/>
          <w:szCs w:val="24"/>
          <w:rtl w:val="0"/>
        </w:rPr>
        <w:t xml:space="preserve"> Entender cómo las ideas filosóficas han evolucionado a lo largo del tiempo y cómo cada período influyó en el siguiente.</w:t>
      </w:r>
    </w:p>
    <w:p w:rsidR="00000000" w:rsidDel="00000000" w:rsidP="00000000" w:rsidRDefault="00000000" w:rsidRPr="00000000" w14:paraId="00000033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Analizar diferentes perspectivas:</w:t>
      </w:r>
      <w:r w:rsidDel="00000000" w:rsidR="00000000" w:rsidRPr="00000000">
        <w:rPr>
          <w:sz w:val="24"/>
          <w:szCs w:val="24"/>
          <w:rtl w:val="0"/>
        </w:rPr>
        <w:t xml:space="preserve"> Comparar y contrastar las concepciones clásicas, cristianas y modernas sobre temas como la naturaleza, el conocimiento, la ética y la política.</w:t>
      </w:r>
    </w:p>
    <w:p w:rsidR="00000000" w:rsidDel="00000000" w:rsidP="00000000" w:rsidRDefault="00000000" w:rsidRPr="00000000" w14:paraId="00000034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Desarrollar un pensamiento crítico:</w:t>
      </w:r>
      <w:r w:rsidDel="00000000" w:rsidR="00000000" w:rsidRPr="00000000">
        <w:rPr>
          <w:sz w:val="24"/>
          <w:szCs w:val="24"/>
          <w:rtl w:val="0"/>
        </w:rPr>
        <w:t xml:space="preserve"> Reflexionar sobre las fortalezas y debilidades de cada período y formar sus propias opiniones sobre las cuestiones filosóficas.</w:t>
      </w:r>
    </w:p>
    <w:p w:rsidR="00000000" w:rsidDel="00000000" w:rsidP="00000000" w:rsidRDefault="00000000" w:rsidRPr="00000000" w14:paraId="00000035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Conectar la filosofía con otras disciplinas:</w:t>
      </w:r>
      <w:r w:rsidDel="00000000" w:rsidR="00000000" w:rsidRPr="00000000">
        <w:rPr>
          <w:sz w:val="24"/>
          <w:szCs w:val="24"/>
          <w:rtl w:val="0"/>
        </w:rPr>
        <w:t xml:space="preserve"> Ver cómo la filosofía ha influido en la ciencia, la religión, la política y otras áreas del conocimiento.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sectPr>
      <w:headerReference r:id="rId7" w:type="default"/>
      <w:headerReference r:id="rId8" w:type="first"/>
      <w:footerReference r:id="rId9" w:type="first"/>
      <w:footerReference r:id="rId10" w:type="defaul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conomic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footer line" id="4" name="image2.png"/>
          <a:graphic>
            <a:graphicData uri="http://schemas.openxmlformats.org/drawingml/2006/picture">
              <pic:pic>
                <pic:nvPicPr>
                  <pic:cNvPr descr="footer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ind w:left="75" w:firstLine="0"/>
      <w:rPr>
        <w:rFonts w:ascii="Economica" w:cs="Economica" w:eastAsia="Economica" w:hAnsi="Economica"/>
      </w:rPr>
    </w:pPr>
    <w:r w:rsidDel="00000000" w:rsidR="00000000" w:rsidRPr="00000000">
      <w:rPr>
        <w:rFonts w:ascii="Economica" w:cs="Economica" w:eastAsia="Economica" w:hAnsi="Economic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línea de pie de página" id="1" name="image2.png"/>
          <a:graphic>
            <a:graphicData uri="http://schemas.openxmlformats.org/drawingml/2006/picture">
              <pic:pic>
                <pic:nvPicPr>
                  <pic:cNvPr descr="línea de pie de página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ind w:left="75" w:firstLine="0"/>
      <w:rPr/>
    </w:pPr>
    <w:r w:rsidDel="00000000" w:rsidR="00000000" w:rsidRPr="00000000">
      <w:rPr>
        <w:rFonts w:ascii="Economica" w:cs="Economica" w:eastAsia="Economica" w:hAnsi="Economic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Style w:val="Subtitle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bookmarkStart w:colFirst="0" w:colLast="0" w:name="_i9npdp6lp7kp" w:id="2"/>
    <w:bookmarkEnd w:id="2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header line" id="3" name="image2.png"/>
          <a:graphic>
            <a:graphicData uri="http://schemas.openxmlformats.org/drawingml/2006/picture">
              <pic:pic>
                <pic:nvPicPr>
                  <pic:cNvPr descr="header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spacing w:before="0" w:line="276" w:lineRule="auto"/>
      <w:ind w:left="425.19685039370086" w:right="-844.7244094488178" w:firstLine="0"/>
      <w:jc w:val="both"/>
      <w:rPr/>
    </w:pPr>
    <w:r w:rsidDel="00000000" w:rsidR="00000000" w:rsidRPr="00000000">
      <w:rPr>
        <w:rFonts w:ascii="Open Sans" w:cs="Open Sans" w:eastAsia="Open Sans" w:hAnsi="Open Sans"/>
        <w:b w:val="0"/>
        <w:rtl w:val="0"/>
      </w:rPr>
      <w:t xml:space="preserve">INSTITUTO JUAN PABLO II                                                                 </w:t>
    </w:r>
    <w:r w:rsidDel="00000000" w:rsidR="00000000" w:rsidRPr="00000000">
      <w:rPr>
        <w:rtl w:val="0"/>
      </w:rPr>
      <w:t xml:space="preserve">              </w:t>
    </w:r>
    <w:r w:rsidDel="00000000" w:rsidR="00000000" w:rsidRPr="00000000">
      <w:rPr>
        <w:rFonts w:ascii="Open Sans" w:cs="Open Sans" w:eastAsia="Open Sans" w:hAnsi="Open Sans"/>
        <w:b w:val="0"/>
        <w:rtl w:val="0"/>
      </w:rPr>
      <w:t xml:space="preserve"> Prof. Victoria jorgensen</w:t>
      <w:br w:type="textWrapping"/>
    </w:r>
    <w:r w:rsidDel="00000000" w:rsidR="00000000" w:rsidRPr="00000000">
      <w:rPr>
        <w:rtl w:val="0"/>
      </w:rPr>
      <w:t xml:space="preserve">Av. Sáenz Peña 576                                                                        Prof.victoriajorgensen@gmail.com</w:t>
      <w:br w:type="textWrapping"/>
      <w:t xml:space="preserve">TEL:  4205711</w:t>
      <w:tab/>
      <w:tab/>
      <w:tab/>
      <w:tab/>
      <w:tab/>
      <w:tab/>
      <w:tab/>
      <w:br w:type="textWrapping"/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InstjuanpabloII@arnet.com.ar</w:t>
      </w:r>
    </w:hyperlink>
    <w:r w:rsidDel="00000000" w:rsidR="00000000" w:rsidRPr="00000000">
      <w:rPr>
        <w:rtl w:val="0"/>
      </w:rPr>
      <w:br w:type="textWrapping"/>
    </w:r>
    <w:hyperlink r:id="rId2">
      <w:r w:rsidDel="00000000" w:rsidR="00000000" w:rsidRPr="00000000">
        <w:rPr>
          <w:color w:val="1155cc"/>
          <w:u w:val="single"/>
          <w:rtl w:val="0"/>
        </w:rPr>
        <w:t xml:space="preserve">www.instjuanpabloii.com.ar</w:t>
      </w:r>
    </w:hyperlink>
    <w:r w:rsidDel="00000000" w:rsidR="00000000" w:rsidRPr="00000000">
      <w:rPr>
        <w:rtl w:val="0"/>
      </w:rPr>
      <w:br w:type="textWrapping"/>
      <w:t xml:space="preserve">www.instjuanpabloII.edu.ar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-771524</wp:posOffset>
          </wp:positionH>
          <wp:positionV relativeFrom="paragraph">
            <wp:posOffset>47626</wp:posOffset>
          </wp:positionV>
          <wp:extent cx="920843" cy="82391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0843" cy="8239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conomica-regular.ttf"/><Relationship Id="rId2" Type="http://schemas.openxmlformats.org/officeDocument/2006/relationships/font" Target="fonts/Economica-bold.ttf"/><Relationship Id="rId3" Type="http://schemas.openxmlformats.org/officeDocument/2006/relationships/font" Target="fonts/Economica-italic.ttf"/><Relationship Id="rId4" Type="http://schemas.openxmlformats.org/officeDocument/2006/relationships/font" Target="fonts/Economica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mailto:InstjuanpabloII@arnet.com.ar" TargetMode="External"/><Relationship Id="rId2" Type="http://schemas.openxmlformats.org/officeDocument/2006/relationships/hyperlink" Target="http://www.instjuanpabloii.com.ar" TargetMode="External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