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Noto Sans Symbols" w:cs="Noto Sans Symbols" w:eastAsia="Noto Sans Symbols" w:hAnsi="Noto Sans Symbols"/>
          <w:i w:val="1"/>
          <w:sz w:val="24"/>
          <w:szCs w:val="24"/>
        </w:rPr>
      </w:pPr>
      <w:bookmarkStart w:colFirst="0" w:colLast="0" w:name="_oga0zecg3i4w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ACTUAL: José Maria Mautino 1° Edición 1992. Química 4. Aula taller. Tercera edición. Cuarta reimpresión</w:t>
      </w:r>
      <w:r w:rsidDel="00000000" w:rsidR="00000000" w:rsidRPr="00000000">
        <w:rPr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qn04hwhpel2g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PÁGINAS: 49,50,51,53,54,56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14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SOLUCIONES Y SUSTANCIAS PURAS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1-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¿Cuando una sustancia es pura?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Realiza un cuadro de solución y sustancia pura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¿Cómo se clasifican las sustancias puras?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Realiza la actividad del libro PÁGINA 52 apartado 1,2. PÁGINA 55 apartado 2. PÁGINA 56 apartado 1,2,3.</w:t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7621</wp:posOffset>
              </wp:positionV>
              <wp:extent cx="1754505" cy="100012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7621</wp:posOffset>
              </wp:positionV>
              <wp:extent cx="1754505" cy="1000125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4505" cy="1000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-64870</wp:posOffset>
          </wp:positionH>
          <wp:positionV relativeFrom="paragraph">
            <wp:posOffset>-95245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