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PROGRAMA 1°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procesamiento de la información: El sistema nervioso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(pág.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Las neuronas: Tipos y propiedades funcionales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(pág.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Sistema nervioso periférico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(pág. 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Regulación química en los seres vivos: plantas, animales, ser humano.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(pág. 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Control hormonal sobre el metabolismo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(pág. 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Respuestas motoras de los seres vivos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(pág. 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143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Sostén, protección y movimientos. (pág. 144-149)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sistema osteo-artro muscular. (pág. 150-161)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 ADN a las proteínas. (pág. 166-183)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Genes y genomas. (pág. 184-190)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Bibliografía: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Libro: Activados. Biología 3. Ed. Puerto de palos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