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Materia: Biología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3 Año B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Docente: Made Amira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Bibliografía actual: Activados. Biología 2. Editorial puerto de palos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Bibliografía a usar en dos meses: Activados. Biología 3. Editorial puerto de palos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heading=h.65kvfw9nvyd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HERENCIA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Actividades: Pág 175-177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5- </w:t>
      </w:r>
      <w:r w:rsidDel="00000000" w:rsidR="00000000" w:rsidRPr="00000000">
        <w:rPr>
          <w:sz w:val="32"/>
          <w:szCs w:val="32"/>
          <w:rtl w:val="0"/>
        </w:rPr>
        <w:t xml:space="preserve">¿Qué es la herencia mezcladora? ¿Cuál es su premisa básica?</w:t>
      </w:r>
    </w:p>
    <w:p w:rsidR="00000000" w:rsidDel="00000000" w:rsidP="00000000" w:rsidRDefault="00000000" w:rsidRPr="00000000" w14:paraId="0000000C">
      <w:pPr>
        <w:spacing w:after="0" w:line="353.4545454545455" w:lineRule="auto"/>
        <w:ind w:left="800" w:hanging="260"/>
        <w:jc w:val="center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6- </w:t>
      </w:r>
      <w:r w:rsidDel="00000000" w:rsidR="00000000" w:rsidRPr="00000000">
        <w:rPr>
          <w:sz w:val="32"/>
          <w:szCs w:val="32"/>
          <w:rtl w:val="0"/>
        </w:rPr>
        <w:t xml:space="preserve">¿Por qué la hipótesis de la herencia mezcladora fue útil para sostener las ideas de Darwin</w:t>
      </w:r>
    </w:p>
    <w:p w:rsidR="00000000" w:rsidDel="00000000" w:rsidP="00000000" w:rsidRDefault="00000000" w:rsidRPr="00000000" w14:paraId="0000000D">
      <w:pPr>
        <w:spacing w:after="0" w:line="353.4545454545455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53.4545454545455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cs="Times New Roman" w:eastAsia="Times New Roman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rFonts w:cs="Times New Roman"/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rPr>
        <w:rFonts w:cs="Times New Roman"/>
      </w:rPr>
      <w:tblPr/>
      <w:tcPr>
        <w:shd w:color="auto" w:fill="b4c6e7" w:themeFill="accent1" w:themeFillTint="000066" w:val="clear"/>
      </w:tcPr>
    </w:tblStylePr>
    <w:tblStylePr w:type="band1Horz">
      <w:rPr>
        <w:rFonts w:cs="Times New Roman"/>
      </w:rPr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9J5/jwCdN6SjBozUg9YCC0UsA==">CgMxLjAyDmguNjVrdmZ3OW52eWQzOAByITE0bFhzQnRzMUdxSGFHYnJ1YV9NVDFnUGttRnd1U3BEdQ==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2024-04-12T00:31:00Z</dcterms:created>
  <dc:creator>Dip, Augusto Armando</dc:creator>
</cp:coreProperties>
</file>