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Materia:</w:t>
      </w:r>
      <w:r>
        <w:rPr>
          <w:rFonts w:ascii="Calibri" w:eastAsia="Calibri" w:hAnsi="Calibri" w:cs="Calibri"/>
          <w:sz w:val="24"/>
        </w:rPr>
        <w:t xml:space="preserve"> Ciencias Políticas</w:t>
      </w:r>
    </w:p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Profesora:</w:t>
      </w:r>
      <w:r>
        <w:rPr>
          <w:rFonts w:ascii="Calibri" w:eastAsia="Calibri" w:hAnsi="Calibri" w:cs="Calibri"/>
          <w:sz w:val="24"/>
        </w:rPr>
        <w:t xml:space="preserve"> Ana Cosman </w:t>
      </w:r>
    </w:p>
    <w:p w:rsidR="00D1616C" w:rsidRDefault="00F5676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Curso:</w:t>
      </w:r>
      <w:r>
        <w:rPr>
          <w:rFonts w:ascii="Calibri" w:eastAsia="Calibri" w:hAnsi="Calibri" w:cs="Calibri"/>
          <w:sz w:val="24"/>
        </w:rPr>
        <w:t xml:space="preserve"> 6to año</w:t>
      </w:r>
    </w:p>
    <w:p w:rsidR="00120B04" w:rsidRDefault="002D5A09" w:rsidP="002D5A09">
      <w:pPr>
        <w:jc w:val="center"/>
        <w:rPr>
          <w:rFonts w:ascii="Calibri" w:eastAsia="Calibri" w:hAnsi="Calibri" w:cs="Calibri"/>
          <w:b/>
          <w:color w:val="4472C4"/>
          <w:sz w:val="20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Trabajo Práctico N° </w:t>
      </w:r>
      <w:r w:rsidR="0061046E">
        <w:rPr>
          <w:rFonts w:ascii="Calibri" w:eastAsia="Calibri" w:hAnsi="Calibri" w:cs="Calibri"/>
          <w:b/>
          <w:sz w:val="28"/>
          <w:szCs w:val="28"/>
        </w:rPr>
        <w:t>18</w:t>
      </w:r>
      <w:r w:rsidR="00AE26FD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61046E">
        <w:rPr>
          <w:rFonts w:ascii="Calibri" w:eastAsia="Calibri" w:hAnsi="Calibri" w:cs="Calibri"/>
          <w:b/>
          <w:sz w:val="28"/>
          <w:szCs w:val="28"/>
        </w:rPr>
        <w:t>(control</w:t>
      </w:r>
      <w:r w:rsidR="002C01D5">
        <w:rPr>
          <w:rFonts w:ascii="Calibri" w:eastAsia="Calibri" w:hAnsi="Calibri" w:cs="Calibri"/>
          <w:b/>
          <w:sz w:val="28"/>
          <w:szCs w:val="28"/>
        </w:rPr>
        <w:t>)</w:t>
      </w:r>
    </w:p>
    <w:p w:rsidR="00861723" w:rsidRPr="0013396C" w:rsidRDefault="00861723" w:rsidP="00861723">
      <w:pPr>
        <w:ind w:left="567" w:firstLine="708"/>
        <w:rPr>
          <w:rFonts w:ascii="Calibri" w:eastAsia="Calibri" w:hAnsi="Calibri" w:cs="Calibri"/>
          <w:color w:val="FF0000"/>
          <w:sz w:val="28"/>
          <w:szCs w:val="28"/>
        </w:rPr>
      </w:pPr>
      <w:r w:rsidRPr="0013396C">
        <w:rPr>
          <w:rFonts w:ascii="Calibri" w:eastAsia="Calibri" w:hAnsi="Calibri" w:cs="Calibri"/>
          <w:color w:val="FF0000"/>
          <w:sz w:val="28"/>
          <w:szCs w:val="28"/>
        </w:rPr>
        <w:t xml:space="preserve">Actividades: </w:t>
      </w:r>
    </w:p>
    <w:p w:rsidR="00AE26FD" w:rsidRDefault="00AE26FD" w:rsidP="00AE26FD">
      <w:pPr>
        <w:pStyle w:val="Prrafodelista"/>
        <w:numPr>
          <w:ilvl w:val="0"/>
          <w:numId w:val="6"/>
        </w:num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Cuadro comparativo principales</w:t>
      </w:r>
      <w:r w:rsidR="00A806D6">
        <w:rPr>
          <w:rFonts w:ascii="Calibri" w:eastAsia="Calibri" w:hAnsi="Calibri" w:cs="Calibri"/>
          <w:color w:val="FF0000"/>
          <w:sz w:val="28"/>
          <w:szCs w:val="28"/>
        </w:rPr>
        <w:t xml:space="preserve"> entre San </w:t>
      </w:r>
      <w:proofErr w:type="spellStart"/>
      <w:r w:rsidR="00A806D6">
        <w:rPr>
          <w:rFonts w:ascii="Calibri" w:eastAsia="Calibri" w:hAnsi="Calibri" w:cs="Calibri"/>
          <w:color w:val="FF0000"/>
          <w:sz w:val="28"/>
          <w:szCs w:val="28"/>
        </w:rPr>
        <w:t>Agustin</w:t>
      </w:r>
      <w:proofErr w:type="spellEnd"/>
      <w:r w:rsidR="00A806D6">
        <w:rPr>
          <w:rFonts w:ascii="Calibri" w:eastAsia="Calibri" w:hAnsi="Calibri" w:cs="Calibri"/>
          <w:color w:val="FF0000"/>
          <w:sz w:val="28"/>
          <w:szCs w:val="28"/>
        </w:rPr>
        <w:t xml:space="preserve"> y Santo Tomas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2348"/>
        <w:gridCol w:w="2458"/>
      </w:tblGrid>
      <w:tr w:rsidR="00A806D6" w:rsidRPr="00A806D6" w:rsidTr="00A806D6">
        <w:trPr>
          <w:gridAfter w:val="1"/>
        </w:trPr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US" w:eastAsia="en-US"/>
              </w:rPr>
            </w:pPr>
            <w:r w:rsidRPr="00A806D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US" w:eastAsia="en-US"/>
              </w:rPr>
              <w:t xml:space="preserve">San </w:t>
            </w:r>
            <w:proofErr w:type="spellStart"/>
            <w:r w:rsidRPr="00A806D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US" w:eastAsia="en-US"/>
              </w:rPr>
              <w:t>Agustín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US" w:eastAsia="en-US"/>
              </w:rPr>
            </w:pPr>
            <w:r w:rsidRPr="00A806D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US" w:eastAsia="en-US"/>
              </w:rPr>
              <w:t xml:space="preserve">Santo </w:t>
            </w:r>
            <w:proofErr w:type="spellStart"/>
            <w:r w:rsidRPr="00A806D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US" w:eastAsia="en-US"/>
              </w:rPr>
              <w:t>Tomás</w:t>
            </w:r>
            <w:proofErr w:type="spellEnd"/>
          </w:p>
        </w:tc>
      </w:tr>
      <w:tr w:rsidR="00A806D6" w:rsidRPr="00A806D6" w:rsidTr="00A806D6"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Época en la que vivió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Siglo IV y V d.C.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Siglo</w:t>
            </w:r>
            <w:proofErr w:type="spellEnd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 xml:space="preserve"> XIII </w:t>
            </w: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d.C.</w:t>
            </w:r>
            <w:proofErr w:type="spellEnd"/>
          </w:p>
        </w:tc>
      </w:tr>
      <w:tr w:rsidR="00A806D6" w:rsidRPr="00A806D6" w:rsidTr="00A806D6"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Principales</w:t>
            </w:r>
            <w:proofErr w:type="spellEnd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obras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A3BF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hyperlink r:id="rId5" w:history="1">
              <w:r w:rsidR="00A806D6" w:rsidRPr="00A806D6">
                <w:rPr>
                  <w:rFonts w:ascii="Arial" w:eastAsia="Times New Roman" w:hAnsi="Arial" w:cs="Arial"/>
                  <w:color w:val="0183E4"/>
                  <w:sz w:val="27"/>
                  <w:szCs w:val="27"/>
                  <w:u w:val="single"/>
                  <w:lang w:val="es-ES" w:eastAsia="en-US"/>
                </w:rPr>
                <w:t> Confesiones</w:t>
              </w:r>
            </w:hyperlink>
            <w:r w:rsidR="00A806D6"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, </w:t>
            </w:r>
            <w:hyperlink r:id="rId6" w:history="1">
              <w:r w:rsidR="00A806D6" w:rsidRPr="00A806D6">
                <w:rPr>
                  <w:rFonts w:ascii="Arial" w:eastAsia="Times New Roman" w:hAnsi="Arial" w:cs="Arial"/>
                  <w:color w:val="0183E4"/>
                  <w:sz w:val="27"/>
                  <w:szCs w:val="27"/>
                  <w:u w:val="single"/>
                  <w:lang w:val="es-ES" w:eastAsia="en-US"/>
                </w:rPr>
                <w:t> La Ciudad de Dios</w:t>
              </w:r>
            </w:hyperlink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Suma Teológica, Comentarios a Aristóteles</w:t>
            </w:r>
          </w:p>
        </w:tc>
      </w:tr>
      <w:tr w:rsidR="00A806D6" w:rsidRPr="00A806D6" w:rsidTr="00A806D6"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Enfoque</w:t>
            </w:r>
            <w:proofErr w:type="spellEnd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filosófico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Platonismo</w:t>
            </w:r>
            <w:proofErr w:type="spellEnd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 xml:space="preserve"> y </w:t>
            </w: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Neoplatonismo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Aristotelismo</w:t>
            </w:r>
            <w:proofErr w:type="spellEnd"/>
          </w:p>
        </w:tc>
      </w:tr>
      <w:tr w:rsidR="00A806D6" w:rsidRPr="00A806D6" w:rsidTr="00A806D6"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Concepto</w:t>
            </w:r>
            <w:proofErr w:type="spellEnd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 xml:space="preserve"> de Dios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Monoteísmo</w:t>
            </w:r>
            <w:proofErr w:type="spellEnd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cristiano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Teología</w:t>
            </w:r>
            <w:proofErr w:type="spellEnd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 xml:space="preserve"> natural y </w:t>
            </w: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razón</w:t>
            </w:r>
            <w:proofErr w:type="spellEnd"/>
          </w:p>
        </w:tc>
      </w:tr>
      <w:tr w:rsidR="00A806D6" w:rsidRPr="00A806D6" w:rsidTr="00A806D6"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Concepto</w:t>
            </w:r>
            <w:proofErr w:type="spellEnd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 xml:space="preserve"> de la </w:t>
            </w:r>
            <w:proofErr w:type="spellStart"/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n-US"/>
              </w:rPr>
              <w:t>verdad</w:t>
            </w:r>
            <w:proofErr w:type="spellEnd"/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La verdad es revelada por Dios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La verdad es accesible por la razón</w:t>
            </w:r>
          </w:p>
        </w:tc>
      </w:tr>
      <w:tr w:rsidR="00A806D6" w:rsidRPr="00A806D6" w:rsidTr="00A806D6"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Relación entre fe y razón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La fe es superior a la razón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FFFFF"/>
            <w:hideMark/>
          </w:tcPr>
          <w:p w:rsidR="00A806D6" w:rsidRPr="00A806D6" w:rsidRDefault="00A806D6" w:rsidP="00A80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</w:pPr>
            <w:r w:rsidRPr="00A806D6">
              <w:rPr>
                <w:rFonts w:ascii="Arial" w:eastAsia="Times New Roman" w:hAnsi="Arial" w:cs="Arial"/>
                <w:color w:val="000000"/>
                <w:sz w:val="27"/>
                <w:szCs w:val="27"/>
                <w:lang w:val="es-ES" w:eastAsia="en-US"/>
              </w:rPr>
              <w:t>La fe y la razón son complementarias</w:t>
            </w:r>
          </w:p>
        </w:tc>
      </w:tr>
    </w:tbl>
    <w:p w:rsidR="00A806D6" w:rsidRDefault="00A806D6" w:rsidP="00A806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</w:pPr>
      <w:r w:rsidRPr="00A806D6"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  <w:t>Este cuadro comparativo presenta las principales diferencias entre San Agustín y Santo Tomás, dos de los filósofos y teólogos más importantes de la historia. Mientras que San Agustín vivió en el siglo IV y V d.C., Santo Tomás vivió en el siglo XIII d.C. Su enfoque filosófico también difiere, ya que San Agustín se enfocó en el platonismo y neoplatonismo, mientras que Santo Tomás se enfocó en el aristotelismo.</w:t>
      </w:r>
    </w:p>
    <w:p w:rsidR="00A806D6" w:rsidRDefault="0061046E" w:rsidP="00674E03">
      <w:pPr>
        <w:pStyle w:val="Prrafodelista"/>
        <w:shd w:val="clear" w:color="auto" w:fill="FFFFFF"/>
        <w:spacing w:after="0" w:line="360" w:lineRule="auto"/>
        <w:ind w:left="426" w:hanging="284"/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</w:pPr>
      <w:r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  <w:t xml:space="preserve">2. </w:t>
      </w:r>
      <w:proofErr w:type="spellStart"/>
      <w:r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  <w:t>Amplie</w:t>
      </w:r>
      <w:proofErr w:type="spellEnd"/>
      <w:r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  <w:t xml:space="preserve"> la información teniendo en cuenta los ítems </w:t>
      </w:r>
      <w:r w:rsidR="00674E03"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  <w:t>más</w:t>
      </w:r>
      <w:r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  <w:t xml:space="preserve"> relevantes arriba mencionados</w:t>
      </w:r>
    </w:p>
    <w:p w:rsidR="0061046E" w:rsidRPr="0061046E" w:rsidRDefault="0061046E" w:rsidP="00674E03">
      <w:pPr>
        <w:pStyle w:val="Prrafodelista"/>
        <w:shd w:val="clear" w:color="auto" w:fill="FFFFFF"/>
        <w:spacing w:after="0" w:line="360" w:lineRule="auto"/>
        <w:ind w:left="142"/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</w:pPr>
      <w:r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  <w:t>3. Analizar</w:t>
      </w:r>
      <w:r w:rsidR="003F0451"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  <w:t xml:space="preserve"> y exponer los aportes realizado</w:t>
      </w:r>
      <w:r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  <w:t>s</w:t>
      </w:r>
      <w:r w:rsidR="00AA3BF6">
        <w:rPr>
          <w:rFonts w:ascii="Arial" w:eastAsia="Times New Roman" w:hAnsi="Arial" w:cs="Arial"/>
          <w:color w:val="181818"/>
          <w:sz w:val="27"/>
          <w:szCs w:val="27"/>
          <w:lang w:val="es-ES" w:eastAsia="en-US"/>
        </w:rPr>
        <w:t xml:space="preserve"> en clase</w:t>
      </w:r>
      <w:bookmarkStart w:id="0" w:name="_GoBack"/>
      <w:bookmarkEnd w:id="0"/>
    </w:p>
    <w:p w:rsidR="00A806D6" w:rsidRPr="00674E03" w:rsidRDefault="00A806D6" w:rsidP="00674E03">
      <w:pPr>
        <w:pStyle w:val="Prrafodelista"/>
        <w:spacing w:after="0" w:line="360" w:lineRule="auto"/>
        <w:ind w:left="284"/>
        <w:rPr>
          <w:rFonts w:ascii="Calibri" w:eastAsia="Calibri" w:hAnsi="Calibri" w:cs="Calibri"/>
          <w:color w:val="FF0000"/>
          <w:sz w:val="28"/>
          <w:szCs w:val="28"/>
          <w:lang w:val="es-ES"/>
        </w:rPr>
      </w:pPr>
    </w:p>
    <w:sectPr w:rsidR="00A806D6" w:rsidRPr="00674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511A"/>
    <w:multiLevelType w:val="hybridMultilevel"/>
    <w:tmpl w:val="2CDA08CE"/>
    <w:lvl w:ilvl="0" w:tplc="F0F44B2C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4311355B"/>
    <w:multiLevelType w:val="hybridMultilevel"/>
    <w:tmpl w:val="7FF418DA"/>
    <w:lvl w:ilvl="0" w:tplc="371EF8AC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46420926"/>
    <w:multiLevelType w:val="hybridMultilevel"/>
    <w:tmpl w:val="3AE4B8EC"/>
    <w:lvl w:ilvl="0" w:tplc="03205D64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541B5D7F"/>
    <w:multiLevelType w:val="hybridMultilevel"/>
    <w:tmpl w:val="103AF35E"/>
    <w:lvl w:ilvl="0" w:tplc="03EA73EE">
      <w:start w:val="1"/>
      <w:numFmt w:val="decimal"/>
      <w:lvlText w:val="%1)"/>
      <w:lvlJc w:val="left"/>
      <w:pPr>
        <w:ind w:left="1352" w:hanging="360"/>
      </w:pPr>
      <w:rPr>
        <w:rFonts w:hint="default"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5EE84135"/>
    <w:multiLevelType w:val="hybridMultilevel"/>
    <w:tmpl w:val="F8B6F2F6"/>
    <w:lvl w:ilvl="0" w:tplc="5F34CEFA">
      <w:start w:val="1"/>
      <w:numFmt w:val="decimal"/>
      <w:lvlText w:val="%1)"/>
      <w:lvlJc w:val="left"/>
      <w:pPr>
        <w:ind w:left="1635" w:hanging="360"/>
      </w:pPr>
      <w:rPr>
        <w:rFonts w:hint="default"/>
        <w:b/>
        <w:color w:val="4472C4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7B345243"/>
    <w:multiLevelType w:val="hybridMultilevel"/>
    <w:tmpl w:val="93409A20"/>
    <w:lvl w:ilvl="0" w:tplc="0409000D">
      <w:start w:val="1"/>
      <w:numFmt w:val="bullet"/>
      <w:lvlText w:val=""/>
      <w:lvlJc w:val="left"/>
      <w:pPr>
        <w:ind w:left="2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616C"/>
    <w:rsid w:val="00031058"/>
    <w:rsid w:val="00120B04"/>
    <w:rsid w:val="0013396C"/>
    <w:rsid w:val="00181B0F"/>
    <w:rsid w:val="002A103D"/>
    <w:rsid w:val="002A5A6B"/>
    <w:rsid w:val="002C01D5"/>
    <w:rsid w:val="002D5A09"/>
    <w:rsid w:val="003F0451"/>
    <w:rsid w:val="0041205A"/>
    <w:rsid w:val="0061046E"/>
    <w:rsid w:val="00674E03"/>
    <w:rsid w:val="00691C77"/>
    <w:rsid w:val="006C725C"/>
    <w:rsid w:val="007E6F3D"/>
    <w:rsid w:val="00861723"/>
    <w:rsid w:val="00A806D6"/>
    <w:rsid w:val="00AA3BF6"/>
    <w:rsid w:val="00AB602B"/>
    <w:rsid w:val="00AE26FD"/>
    <w:rsid w:val="00D1616C"/>
    <w:rsid w:val="00F46763"/>
    <w:rsid w:val="00F56768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0A94"/>
  <w15:docId w15:val="{E4D429CA-8A93-47A1-996A-976124B9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76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06D6"/>
    <w:rPr>
      <w:color w:val="0000FF"/>
      <w:u w:val="single"/>
    </w:rPr>
  </w:style>
  <w:style w:type="character" w:customStyle="1" w:styleId="google-anno-t">
    <w:name w:val="google-anno-t"/>
    <w:basedOn w:val="Fuentedeprrafopredeter"/>
    <w:rsid w:val="00A806D6"/>
  </w:style>
  <w:style w:type="paragraph" w:styleId="NormalWeb">
    <w:name w:val="Normal (Web)"/>
    <w:basedOn w:val="Normal"/>
    <w:uiPriority w:val="99"/>
    <w:semiHidden/>
    <w:unhideWhenUsed/>
    <w:rsid w:val="00A8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adrocomparativode.net/comparacion-entre-san-agustin-y-santo-tomas-un-cuadro-completo/" TargetMode="External"/><Relationship Id="rId5" Type="http://schemas.openxmlformats.org/officeDocument/2006/relationships/hyperlink" Target="https://cuadrocomparativode.net/comparacion-entre-san-agustin-y-santo-tomas-un-cuadro-comple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21</cp:revision>
  <dcterms:created xsi:type="dcterms:W3CDTF">2024-08-05T00:33:00Z</dcterms:created>
  <dcterms:modified xsi:type="dcterms:W3CDTF">2024-09-30T02:47:00Z</dcterms:modified>
</cp:coreProperties>
</file>