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75DB205B" w:rsidR="00C839E6" w:rsidRDefault="00596209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26</w:t>
      </w:r>
      <w:bookmarkStart w:id="0" w:name="_GoBack"/>
      <w:bookmarkEnd w:id="0"/>
    </w:p>
    <w:p w14:paraId="39D3ED8E" w14:textId="77777777" w:rsidR="00596209" w:rsidRPr="005D6B78" w:rsidRDefault="00596209" w:rsidP="005962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B78">
        <w:rPr>
          <w:rFonts w:ascii="Arial" w:hAnsi="Arial" w:cs="Arial"/>
          <w:b/>
          <w:bCs/>
          <w:sz w:val="24"/>
          <w:szCs w:val="24"/>
        </w:rPr>
        <w:t>“LAS SUSTANCIAS”</w:t>
      </w:r>
    </w:p>
    <w:p w14:paraId="124D4165" w14:textId="77777777" w:rsidR="00596209" w:rsidRPr="005D6B78" w:rsidRDefault="00596209" w:rsidP="0059620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B78">
        <w:rPr>
          <w:rFonts w:ascii="Arial" w:hAnsi="Arial" w:cs="Arial"/>
          <w:b/>
          <w:bCs/>
          <w:sz w:val="24"/>
          <w:szCs w:val="24"/>
          <w:u w:val="single"/>
        </w:rPr>
        <w:t>Explicación de la definición de sustancia y los tipos de sustancias que existen.</w:t>
      </w:r>
    </w:p>
    <w:p w14:paraId="38D28D3E" w14:textId="77777777" w:rsidR="00596209" w:rsidRPr="005D6B78" w:rsidRDefault="00596209" w:rsidP="0059620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B78">
        <w:rPr>
          <w:rFonts w:ascii="Arial" w:hAnsi="Arial" w:cs="Arial"/>
          <w:b/>
          <w:bCs/>
          <w:sz w:val="24"/>
          <w:szCs w:val="24"/>
          <w:u w:val="single"/>
        </w:rPr>
        <w:t>Actividades (pág. 46 y 47):</w:t>
      </w:r>
    </w:p>
    <w:p w14:paraId="00815D4B" w14:textId="77777777" w:rsidR="00596209" w:rsidRPr="005D6B78" w:rsidRDefault="00596209" w:rsidP="00596209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D6B78">
        <w:rPr>
          <w:rFonts w:ascii="Arial" w:hAnsi="Arial" w:cs="Arial"/>
          <w:sz w:val="24"/>
          <w:szCs w:val="24"/>
        </w:rPr>
        <w:t>Lectura de la página 46 y resuelve las actividades que se plantean en la misma.</w:t>
      </w:r>
    </w:p>
    <w:p w14:paraId="7DE4AA95" w14:textId="77777777" w:rsidR="00596209" w:rsidRPr="005D6B78" w:rsidRDefault="00596209" w:rsidP="00596209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D6B78">
        <w:rPr>
          <w:rFonts w:ascii="Arial" w:hAnsi="Arial" w:cs="Arial"/>
          <w:sz w:val="24"/>
          <w:szCs w:val="24"/>
        </w:rPr>
        <w:t>Resuelve la actividad 2a de la página 47.</w:t>
      </w:r>
    </w:p>
    <w:p w14:paraId="48711A01" w14:textId="77777777" w:rsidR="00596209" w:rsidRPr="005D6B78" w:rsidRDefault="00596209" w:rsidP="00596209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D6B78">
        <w:rPr>
          <w:rFonts w:ascii="Arial" w:hAnsi="Arial" w:cs="Arial"/>
          <w:sz w:val="24"/>
          <w:szCs w:val="24"/>
        </w:rPr>
        <w:t>¿Qué plantea la regla del octeto? (Pág. 47)</w:t>
      </w: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A6ED" w14:textId="77777777" w:rsidR="00A36A81" w:rsidRDefault="00A36A81" w:rsidP="003C0D6D">
      <w:pPr>
        <w:spacing w:after="0" w:line="240" w:lineRule="auto"/>
      </w:pPr>
      <w:r>
        <w:separator/>
      </w:r>
    </w:p>
  </w:endnote>
  <w:endnote w:type="continuationSeparator" w:id="0">
    <w:p w14:paraId="75BECA0F" w14:textId="77777777" w:rsidR="00A36A81" w:rsidRDefault="00A36A8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8A66" w14:textId="77777777" w:rsidR="00A36A81" w:rsidRDefault="00A36A81" w:rsidP="003C0D6D">
      <w:pPr>
        <w:spacing w:after="0" w:line="240" w:lineRule="auto"/>
      </w:pPr>
      <w:r>
        <w:separator/>
      </w:r>
    </w:p>
  </w:footnote>
  <w:footnote w:type="continuationSeparator" w:id="0">
    <w:p w14:paraId="4FE7A2F6" w14:textId="77777777" w:rsidR="00A36A81" w:rsidRDefault="00A36A8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36A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36A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36A8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36A8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209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36A81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C664F"/>
    <w:rsid w:val="00BE0950"/>
    <w:rsid w:val="00BE17BC"/>
    <w:rsid w:val="00BE6C88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1AA1-3729-423A-A7E5-421E161F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2024-10-25T01:58:00Z</dcterms:created>
  <dcterms:modified xsi:type="dcterms:W3CDTF">2024-10-25T01:58:00Z</dcterms:modified>
</cp:coreProperties>
</file>