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102B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102B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102B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102B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pPr>
        <w:rPr>
          <w:b/>
        </w:rPr>
      </w:pPr>
      <w:r>
        <w:t xml:space="preserve">Materia: </w:t>
      </w:r>
      <w:r>
        <w:rPr>
          <w:b/>
        </w:rPr>
        <w:t>Lengua y literatura</w:t>
      </w:r>
    </w:p>
    <w:p w:rsidR="007C6E8B" w:rsidRDefault="007C6E8B">
      <w:pPr>
        <w:rPr>
          <w:b/>
        </w:rPr>
      </w:pPr>
      <w:r>
        <w:t xml:space="preserve">Profesora: </w:t>
      </w:r>
      <w:r>
        <w:rPr>
          <w:b/>
        </w:rPr>
        <w:t xml:space="preserve">Verónica Isabel González </w:t>
      </w:r>
    </w:p>
    <w:p w:rsidR="007C6E8B" w:rsidRDefault="007C6E8B">
      <w:r>
        <w:t xml:space="preserve">Curso: </w:t>
      </w:r>
      <w:r w:rsidR="000102BD">
        <w:t>6</w:t>
      </w:r>
      <w:r w:rsidR="00A957C0">
        <w:t>º año</w:t>
      </w:r>
      <w:r w:rsidR="00816675">
        <w:t xml:space="preserve"> A</w:t>
      </w:r>
    </w:p>
    <w:p w:rsidR="00A957C0" w:rsidRDefault="000102BD">
      <w:r>
        <w:t>Fecha: 06/09</w:t>
      </w:r>
      <w:r w:rsidR="00816675">
        <w:t>/2024</w:t>
      </w:r>
    </w:p>
    <w:p w:rsidR="00913BD7" w:rsidRDefault="00913BD7">
      <w:r>
        <w:t xml:space="preserve">Bibliografía: Cuadernillo de </w:t>
      </w:r>
      <w:r w:rsidR="000102BD">
        <w:t>estudio de Lengua y Literatura 6</w:t>
      </w:r>
      <w:r>
        <w:t xml:space="preserve">º año   </w:t>
      </w:r>
    </w:p>
    <w:p w:rsidR="00913BD7" w:rsidRDefault="00913BD7">
      <w:r>
        <w:t xml:space="preserve">Páginas: </w:t>
      </w:r>
      <w:bookmarkStart w:id="0" w:name="_GoBack"/>
      <w:bookmarkEnd w:id="0"/>
    </w:p>
    <w:p w:rsidR="007C6E8B" w:rsidRDefault="007C6E8B" w:rsidP="007C6E8B">
      <w:pPr>
        <w:jc w:val="center"/>
        <w:rPr>
          <w:u w:val="single"/>
        </w:rPr>
      </w:pPr>
      <w:r w:rsidRPr="007C6E8B">
        <w:rPr>
          <w:u w:val="single"/>
        </w:rPr>
        <w:t>Trabajo práctico nº</w:t>
      </w:r>
      <w:r w:rsidR="00452DB3">
        <w:rPr>
          <w:u w:val="single"/>
        </w:rPr>
        <w:t xml:space="preserve"> </w:t>
      </w:r>
      <w:r w:rsidR="000102BD">
        <w:rPr>
          <w:u w:val="single"/>
        </w:rPr>
        <w:t>44</w:t>
      </w:r>
    </w:p>
    <w:p w:rsidR="000102BD" w:rsidRDefault="000102BD" w:rsidP="000102BD">
      <w:pPr>
        <w:spacing w:after="0"/>
        <w:jc w:val="both"/>
        <w:rPr>
          <w:b/>
        </w:rPr>
      </w:pPr>
      <w:r w:rsidRPr="000F080D">
        <w:rPr>
          <w:b/>
        </w:rPr>
        <w:t>UNIDAD Nº 3 (tercer trimestre)</w:t>
      </w:r>
    </w:p>
    <w:p w:rsidR="000102BD" w:rsidRDefault="000102BD" w:rsidP="000102BD">
      <w:pPr>
        <w:numPr>
          <w:ilvl w:val="0"/>
          <w:numId w:val="6"/>
        </w:numPr>
        <w:spacing w:after="0"/>
        <w:contextualSpacing/>
        <w:jc w:val="both"/>
        <w:rPr>
          <w:b/>
          <w:sz w:val="24"/>
          <w:szCs w:val="24"/>
        </w:rPr>
      </w:pPr>
      <w:r>
        <w:rPr>
          <w:b/>
          <w:sz w:val="24"/>
          <w:szCs w:val="24"/>
          <w:u w:val="single"/>
        </w:rPr>
        <w:t>La literatura argentina en la década de 1920</w:t>
      </w:r>
      <w:r>
        <w:rPr>
          <w:sz w:val="24"/>
          <w:szCs w:val="24"/>
          <w:u w:val="single"/>
        </w:rPr>
        <w:t>:</w:t>
      </w:r>
      <w:r>
        <w:rPr>
          <w:b/>
          <w:sz w:val="24"/>
          <w:szCs w:val="24"/>
        </w:rPr>
        <w:t xml:space="preserve"> </w:t>
      </w:r>
      <w:r>
        <w:rPr>
          <w:sz w:val="24"/>
          <w:szCs w:val="24"/>
        </w:rPr>
        <w:t>el urbanismo y la lengua. Nuevos hábitos y consumos culturales. Juventud e identidad. Los escritores y el mercado.</w:t>
      </w:r>
      <w:r>
        <w:rPr>
          <w:sz w:val="24"/>
          <w:szCs w:val="24"/>
        </w:rPr>
        <w:t xml:space="preserve"> </w:t>
      </w:r>
      <w:r w:rsidRPr="000102BD">
        <w:rPr>
          <w:sz w:val="24"/>
          <w:szCs w:val="24"/>
          <w:highlight w:val="yellow"/>
        </w:rPr>
        <w:t>(PAG. 63-66)</w:t>
      </w:r>
    </w:p>
    <w:p w:rsidR="000102BD" w:rsidRPr="000102BD" w:rsidRDefault="000102BD" w:rsidP="000102BD">
      <w:pPr>
        <w:numPr>
          <w:ilvl w:val="0"/>
          <w:numId w:val="6"/>
        </w:numPr>
        <w:spacing w:after="0"/>
        <w:contextualSpacing/>
        <w:jc w:val="both"/>
        <w:rPr>
          <w:b/>
          <w:sz w:val="24"/>
          <w:szCs w:val="24"/>
        </w:rPr>
      </w:pPr>
      <w:r>
        <w:rPr>
          <w:b/>
          <w:sz w:val="24"/>
          <w:szCs w:val="24"/>
          <w:u w:val="single"/>
        </w:rPr>
        <w:t>Lectura y análisis de los cuentos</w:t>
      </w:r>
      <w:r>
        <w:rPr>
          <w:sz w:val="24"/>
          <w:szCs w:val="24"/>
        </w:rPr>
        <w:t xml:space="preserve">: “Pequeños propietarios” de Roberto </w:t>
      </w:r>
      <w:proofErr w:type="spellStart"/>
      <w:r>
        <w:rPr>
          <w:sz w:val="24"/>
          <w:szCs w:val="24"/>
        </w:rPr>
        <w:t>Arlt</w:t>
      </w:r>
      <w:proofErr w:type="spellEnd"/>
      <w:r>
        <w:rPr>
          <w:sz w:val="24"/>
          <w:szCs w:val="24"/>
        </w:rPr>
        <w:t xml:space="preserve"> y “Biografía de Tadeo Isidoro Cruz”</w:t>
      </w:r>
      <w:r>
        <w:rPr>
          <w:sz w:val="24"/>
          <w:szCs w:val="24"/>
        </w:rPr>
        <w:t xml:space="preserve"> </w:t>
      </w:r>
      <w:r w:rsidRPr="000102BD">
        <w:rPr>
          <w:sz w:val="24"/>
          <w:szCs w:val="24"/>
          <w:highlight w:val="yellow"/>
        </w:rPr>
        <w:t>( PAG. 66- 73)</w:t>
      </w:r>
    </w:p>
    <w:p w:rsidR="000102BD" w:rsidRPr="000F080D" w:rsidRDefault="000102BD" w:rsidP="000102BD">
      <w:pPr>
        <w:numPr>
          <w:ilvl w:val="0"/>
          <w:numId w:val="5"/>
        </w:numPr>
        <w:spacing w:after="0"/>
        <w:contextualSpacing/>
        <w:jc w:val="both"/>
      </w:pPr>
      <w:r w:rsidRPr="000F080D">
        <w:rPr>
          <w:b/>
          <w:u w:val="single"/>
        </w:rPr>
        <w:t>Textos instrumentales</w:t>
      </w:r>
      <w:r w:rsidRPr="000F080D">
        <w:rPr>
          <w:b/>
        </w:rPr>
        <w:t>:</w:t>
      </w:r>
      <w:r w:rsidRPr="000F080D">
        <w:t xml:space="preserve"> Avisos clasificados. Carta de presentación. Entrevista laboral.</w:t>
      </w:r>
      <w:r>
        <w:t xml:space="preserve"> </w:t>
      </w:r>
      <w:r w:rsidRPr="000102BD">
        <w:rPr>
          <w:highlight w:val="yellow"/>
        </w:rPr>
        <w:t>(PAG.74-76)</w:t>
      </w:r>
    </w:p>
    <w:p w:rsidR="000102BD" w:rsidRPr="000F080D" w:rsidRDefault="000102BD" w:rsidP="000102BD">
      <w:pPr>
        <w:numPr>
          <w:ilvl w:val="0"/>
          <w:numId w:val="5"/>
        </w:numPr>
        <w:spacing w:after="0"/>
        <w:contextualSpacing/>
        <w:jc w:val="both"/>
      </w:pPr>
      <w:r w:rsidRPr="000F080D">
        <w:rPr>
          <w:b/>
          <w:u w:val="single"/>
        </w:rPr>
        <w:t>El currículum vitae</w:t>
      </w:r>
      <w:r w:rsidRPr="000F080D">
        <w:rPr>
          <w:b/>
        </w:rPr>
        <w:t>.</w:t>
      </w:r>
      <w:r w:rsidRPr="000F080D">
        <w:t xml:space="preserve"> Estructura. Finalidad. Tipos de presentaciones</w:t>
      </w:r>
      <w:r w:rsidRPr="000102BD">
        <w:rPr>
          <w:highlight w:val="yellow"/>
        </w:rPr>
        <w:t>.</w:t>
      </w:r>
      <w:r w:rsidRPr="000102BD">
        <w:rPr>
          <w:highlight w:val="yellow"/>
        </w:rPr>
        <w:t>(PAG. 76-83)</w:t>
      </w:r>
    </w:p>
    <w:p w:rsidR="000102BD" w:rsidRPr="000F080D" w:rsidRDefault="000102BD" w:rsidP="000102BD">
      <w:pPr>
        <w:numPr>
          <w:ilvl w:val="0"/>
          <w:numId w:val="5"/>
        </w:numPr>
        <w:spacing w:after="0"/>
        <w:contextualSpacing/>
        <w:jc w:val="both"/>
      </w:pPr>
      <w:r w:rsidRPr="000F080D">
        <w:rPr>
          <w:b/>
          <w:u w:val="single"/>
        </w:rPr>
        <w:t>Carta de presentación</w:t>
      </w:r>
      <w:r w:rsidRPr="000F080D">
        <w:rPr>
          <w:b/>
        </w:rPr>
        <w:t>.</w:t>
      </w:r>
      <w:r w:rsidRPr="000F080D">
        <w:t xml:space="preserve"> Estructura. Modelos</w:t>
      </w:r>
      <w:r>
        <w:t xml:space="preserve"> </w:t>
      </w:r>
      <w:r w:rsidRPr="000102BD">
        <w:rPr>
          <w:highlight w:val="yellow"/>
        </w:rPr>
        <w:t>(PAG. 83-88)</w:t>
      </w:r>
    </w:p>
    <w:p w:rsidR="000102BD" w:rsidRPr="000F080D" w:rsidRDefault="000102BD" w:rsidP="000102BD">
      <w:pPr>
        <w:numPr>
          <w:ilvl w:val="0"/>
          <w:numId w:val="5"/>
        </w:numPr>
        <w:spacing w:after="0"/>
        <w:contextualSpacing/>
        <w:jc w:val="both"/>
        <w:rPr>
          <w:u w:val="single"/>
        </w:rPr>
      </w:pPr>
      <w:r w:rsidRPr="000F080D">
        <w:rPr>
          <w:b/>
          <w:u w:val="single"/>
        </w:rPr>
        <w:t>El microrrelato:</w:t>
      </w:r>
      <w:r w:rsidRPr="000F080D">
        <w:t xml:space="preserve"> Marco </w:t>
      </w:r>
      <w:proofErr w:type="spellStart"/>
      <w:r w:rsidRPr="000F080D">
        <w:t>Denevi</w:t>
      </w:r>
      <w:proofErr w:type="spellEnd"/>
      <w:r w:rsidRPr="000F080D">
        <w:t xml:space="preserve"> y la Generación del 55.</w:t>
      </w:r>
      <w:r>
        <w:t xml:space="preserve"> (</w:t>
      </w:r>
      <w:r w:rsidRPr="000102BD">
        <w:rPr>
          <w:highlight w:val="yellow"/>
        </w:rPr>
        <w:t>PAG. 89- 91)</w:t>
      </w:r>
    </w:p>
    <w:p w:rsidR="000102BD" w:rsidRPr="000F080D" w:rsidRDefault="000102BD" w:rsidP="000102BD">
      <w:pPr>
        <w:numPr>
          <w:ilvl w:val="0"/>
          <w:numId w:val="5"/>
        </w:numPr>
        <w:spacing w:after="0"/>
        <w:contextualSpacing/>
        <w:jc w:val="both"/>
      </w:pPr>
      <w:r w:rsidRPr="000F080D">
        <w:rPr>
          <w:b/>
          <w:u w:val="single"/>
        </w:rPr>
        <w:t xml:space="preserve">Lectura y análisis de </w:t>
      </w:r>
      <w:proofErr w:type="spellStart"/>
      <w:r w:rsidRPr="000F080D">
        <w:rPr>
          <w:b/>
          <w:u w:val="single"/>
        </w:rPr>
        <w:t>microrrelatos</w:t>
      </w:r>
      <w:proofErr w:type="spellEnd"/>
      <w:r w:rsidRPr="000F080D">
        <w:rPr>
          <w:u w:val="single"/>
        </w:rPr>
        <w:t>:</w:t>
      </w:r>
      <w:r w:rsidRPr="000F080D">
        <w:t xml:space="preserve"> “Los fracasados”, “El maestro traicionado”, “El fin de toda discusión teológica”,  “Nada satisface al resentido”.</w:t>
      </w:r>
      <w:r w:rsidRPr="000F080D">
        <w:rPr>
          <w:u w:val="single"/>
        </w:rPr>
        <w:t xml:space="preserve"> </w:t>
      </w:r>
      <w:r>
        <w:rPr>
          <w:u w:val="single"/>
        </w:rPr>
        <w:t>(</w:t>
      </w:r>
      <w:r w:rsidRPr="000102BD">
        <w:rPr>
          <w:highlight w:val="yellow"/>
          <w:u w:val="single"/>
        </w:rPr>
        <w:t>PAG. 92-95)</w:t>
      </w:r>
    </w:p>
    <w:p w:rsidR="000102BD" w:rsidRPr="000F080D" w:rsidRDefault="000102BD" w:rsidP="000102BD">
      <w:pPr>
        <w:numPr>
          <w:ilvl w:val="0"/>
          <w:numId w:val="5"/>
        </w:numPr>
        <w:spacing w:after="0"/>
        <w:contextualSpacing/>
        <w:jc w:val="both"/>
      </w:pPr>
      <w:r w:rsidRPr="000F080D">
        <w:rPr>
          <w:b/>
          <w:u w:val="single"/>
        </w:rPr>
        <w:t>El ensayo breve:</w:t>
      </w:r>
      <w:r w:rsidRPr="000F080D">
        <w:t xml:space="preserve"> definición. Características. Finalidad. Estructura.  Plan para escribir un ensayo.</w:t>
      </w:r>
      <w:r>
        <w:t xml:space="preserve"> </w:t>
      </w:r>
      <w:r w:rsidRPr="000102BD">
        <w:rPr>
          <w:highlight w:val="yellow"/>
        </w:rPr>
        <w:t>(PAG.96-100)</w:t>
      </w:r>
    </w:p>
    <w:p w:rsidR="000102BD" w:rsidRPr="000F080D" w:rsidRDefault="000102BD" w:rsidP="000102BD">
      <w:pPr>
        <w:numPr>
          <w:ilvl w:val="0"/>
          <w:numId w:val="5"/>
        </w:numPr>
        <w:spacing w:after="0"/>
        <w:contextualSpacing/>
        <w:jc w:val="both"/>
      </w:pPr>
      <w:r w:rsidRPr="000F080D">
        <w:rPr>
          <w:b/>
          <w:u w:val="single"/>
        </w:rPr>
        <w:t>Dramaturgia del NOA</w:t>
      </w:r>
      <w:proofErr w:type="gramStart"/>
      <w:r w:rsidRPr="000F080D">
        <w:rPr>
          <w:b/>
          <w:u w:val="single"/>
        </w:rPr>
        <w:t>:</w:t>
      </w:r>
      <w:r w:rsidRPr="000F080D">
        <w:rPr>
          <w:u w:val="single"/>
        </w:rPr>
        <w:t xml:space="preserve">  </w:t>
      </w:r>
      <w:r w:rsidRPr="000F080D">
        <w:t>La</w:t>
      </w:r>
      <w:proofErr w:type="gramEnd"/>
      <w:r w:rsidRPr="000F080D">
        <w:t xml:space="preserve"> literatura popular del norte argentino. Juan Alfonso Carrizo. La literatura popular del NOA con nombres propios. Juan Alfonso Carrizo: vida y obra.</w:t>
      </w:r>
      <w:r>
        <w:t xml:space="preserve"> </w:t>
      </w:r>
      <w:r w:rsidRPr="000102BD">
        <w:rPr>
          <w:highlight w:val="yellow"/>
        </w:rPr>
        <w:t>(PAG. 100-104)</w:t>
      </w:r>
    </w:p>
    <w:p w:rsidR="000102BD" w:rsidRPr="000F080D" w:rsidRDefault="000102BD" w:rsidP="000102BD">
      <w:pPr>
        <w:numPr>
          <w:ilvl w:val="0"/>
          <w:numId w:val="5"/>
        </w:numPr>
        <w:contextualSpacing/>
        <w:jc w:val="both"/>
      </w:pPr>
      <w:r w:rsidRPr="000F080D">
        <w:rPr>
          <w:b/>
          <w:u w:val="single"/>
        </w:rPr>
        <w:t>El mito del eterno retorno:</w:t>
      </w:r>
      <w:r w:rsidRPr="000F080D">
        <w:t xml:space="preserve"> en “el sueño inmóvil.</w:t>
      </w:r>
      <w:r>
        <w:t xml:space="preserve"> (</w:t>
      </w:r>
      <w:r w:rsidRPr="000102BD">
        <w:rPr>
          <w:highlight w:val="yellow"/>
        </w:rPr>
        <w:t>PAG.126-135</w:t>
      </w:r>
      <w:r>
        <w:t>)</w:t>
      </w:r>
    </w:p>
    <w:p w:rsidR="000102BD" w:rsidRPr="000102BD" w:rsidRDefault="000102BD" w:rsidP="000102BD">
      <w:pPr>
        <w:numPr>
          <w:ilvl w:val="0"/>
          <w:numId w:val="5"/>
        </w:numPr>
        <w:contextualSpacing/>
        <w:jc w:val="both"/>
        <w:rPr>
          <w:b/>
        </w:rPr>
      </w:pPr>
      <w:r w:rsidRPr="000F080D">
        <w:rPr>
          <w:b/>
          <w:u w:val="single"/>
        </w:rPr>
        <w:t>Lectura y análisis de canciones populares y “el sueño inmóvil” de Carlos Alsina</w:t>
      </w:r>
      <w:r>
        <w:rPr>
          <w:b/>
          <w:u w:val="single"/>
        </w:rPr>
        <w:t xml:space="preserve"> </w:t>
      </w:r>
      <w:r w:rsidRPr="000102BD">
        <w:rPr>
          <w:b/>
          <w:highlight w:val="yellow"/>
          <w:u w:val="single"/>
        </w:rPr>
        <w:t>(</w:t>
      </w:r>
      <w:r>
        <w:rPr>
          <w:b/>
          <w:highlight w:val="yellow"/>
          <w:u w:val="single"/>
        </w:rPr>
        <w:t>PAG.</w:t>
      </w:r>
      <w:r w:rsidRPr="000102BD">
        <w:rPr>
          <w:b/>
          <w:highlight w:val="yellow"/>
          <w:u w:val="single"/>
        </w:rPr>
        <w:t>107-126)</w:t>
      </w:r>
    </w:p>
    <w:p w:rsidR="000102BD" w:rsidRPr="000F080D" w:rsidRDefault="000102BD" w:rsidP="000102BD">
      <w:pPr>
        <w:ind w:left="928"/>
        <w:contextualSpacing/>
        <w:jc w:val="both"/>
        <w:rPr>
          <w:b/>
        </w:rPr>
      </w:pPr>
    </w:p>
    <w:p w:rsidR="000102BD" w:rsidRPr="000F080D" w:rsidRDefault="000102BD" w:rsidP="000102BD">
      <w:pPr>
        <w:spacing w:after="0"/>
        <w:jc w:val="both"/>
        <w:rPr>
          <w:rFonts w:eastAsia="Calibri" w:cs="Times New Roman"/>
          <w:color w:val="943634" w:themeColor="accent2" w:themeShade="BF"/>
        </w:rPr>
      </w:pPr>
    </w:p>
    <w:p w:rsidR="000102BD" w:rsidRPr="00815994" w:rsidRDefault="000102BD" w:rsidP="000102BD">
      <w:pPr>
        <w:jc w:val="center"/>
        <w:rPr>
          <w:rFonts w:eastAsia="Calibri" w:cs="Times New Roman"/>
          <w:b/>
          <w:color w:val="365F91" w:themeColor="accent1" w:themeShade="BF"/>
          <w:u w:val="single"/>
          <w:lang w:val="es-ES" w:eastAsia="es-ES"/>
        </w:rPr>
      </w:pPr>
      <w:r w:rsidRPr="00815994">
        <w:rPr>
          <w:rFonts w:eastAsia="Calibri" w:cs="Times New Roman"/>
          <w:b/>
          <w:color w:val="365F91" w:themeColor="accent1" w:themeShade="BF"/>
          <w:u w:val="single"/>
          <w:lang w:val="es-ES" w:eastAsia="es-ES"/>
        </w:rPr>
        <w:lastRenderedPageBreak/>
        <w:t>LA LITERATURA ARGENTINA EN LA DÉCADA DE 1920</w:t>
      </w:r>
    </w:p>
    <w:p w:rsidR="000102BD" w:rsidRPr="00815994" w:rsidRDefault="000102BD" w:rsidP="000102BD">
      <w:pPr>
        <w:rPr>
          <w:rFonts w:eastAsia="Calibri" w:cs="Times New Roman"/>
          <w:b/>
          <w:color w:val="365F91" w:themeColor="accent1" w:themeShade="BF"/>
          <w:lang w:val="es-ES" w:eastAsia="es-ES"/>
        </w:rPr>
      </w:pPr>
      <w:r w:rsidRPr="00815994">
        <w:rPr>
          <w:rFonts w:eastAsia="Calibri" w:cs="Times New Roman"/>
          <w:b/>
          <w:color w:val="365F91" w:themeColor="accent1" w:themeShade="BF"/>
          <w:lang w:val="es-ES" w:eastAsia="es-ES"/>
        </w:rPr>
        <w:t>Buenos Aires en 1920</w:t>
      </w:r>
    </w:p>
    <w:p w:rsidR="000102BD" w:rsidRPr="00815994" w:rsidRDefault="000102BD" w:rsidP="000102BD">
      <w:pPr>
        <w:spacing w:after="0"/>
        <w:ind w:firstLine="709"/>
        <w:jc w:val="both"/>
        <w:rPr>
          <w:rFonts w:eastAsia="Calibri" w:cs="Times New Roman"/>
          <w:lang w:val="es-ES" w:eastAsia="es-ES"/>
        </w:rPr>
      </w:pPr>
      <w:r w:rsidRPr="00815994">
        <w:rPr>
          <w:rFonts w:eastAsia="Calibri" w:cs="Times New Roman"/>
          <w:lang w:val="es-ES" w:eastAsia="es-ES"/>
        </w:rPr>
        <w:t>¿Cuál es la particularidad de esta época? Que en muy poco tiempo, la ciudad cambió por completo y pasó a ser un escenario eminentemente moderno. La de 1920 fue una década de transformaciones sociales, de nuevos hábitos, de impactantes novedades en la cultura. Una fuerte oleada inmigratoria prácticamente revolucionó la sociedad argentina, en especial la porteña. Entre ellos, españoles e italianos pero también llegaron gente de distintas partes del mundo.</w:t>
      </w:r>
    </w:p>
    <w:p w:rsidR="000102BD" w:rsidRPr="00815994" w:rsidRDefault="000102BD" w:rsidP="000102BD">
      <w:pPr>
        <w:spacing w:after="0"/>
        <w:ind w:firstLine="709"/>
        <w:jc w:val="both"/>
        <w:rPr>
          <w:rFonts w:eastAsia="Calibri" w:cs="Times New Roman"/>
          <w:lang w:val="es-ES" w:eastAsia="es-ES"/>
        </w:rPr>
      </w:pPr>
    </w:p>
    <w:p w:rsidR="000102BD" w:rsidRPr="00815994" w:rsidRDefault="000102BD" w:rsidP="000102BD">
      <w:pPr>
        <w:spacing w:after="0"/>
        <w:jc w:val="both"/>
        <w:rPr>
          <w:rFonts w:eastAsia="Calibri" w:cs="Times New Roman"/>
          <w:b/>
          <w:color w:val="365F91" w:themeColor="accent1" w:themeShade="BF"/>
          <w:lang w:val="es-ES" w:eastAsia="es-ES"/>
        </w:rPr>
      </w:pPr>
      <w:r w:rsidRPr="00815994">
        <w:rPr>
          <w:rFonts w:eastAsia="Calibri" w:cs="Times New Roman"/>
          <w:b/>
          <w:color w:val="365F91" w:themeColor="accent1" w:themeShade="BF"/>
          <w:lang w:val="es-ES" w:eastAsia="es-ES"/>
        </w:rPr>
        <w:t>El urbanismo y la lengua</w:t>
      </w:r>
    </w:p>
    <w:p w:rsidR="000102BD" w:rsidRPr="00815994" w:rsidRDefault="000102BD" w:rsidP="000102BD">
      <w:pPr>
        <w:spacing w:after="0"/>
        <w:ind w:firstLine="709"/>
        <w:jc w:val="both"/>
        <w:rPr>
          <w:rFonts w:eastAsia="Calibri" w:cs="Times New Roman"/>
          <w:lang w:val="es-ES" w:eastAsia="es-ES"/>
        </w:rPr>
      </w:pPr>
      <w:r w:rsidRPr="00815994">
        <w:rPr>
          <w:rFonts w:eastAsia="Calibri" w:cs="Times New Roman"/>
          <w:lang w:val="es-ES" w:eastAsia="es-ES"/>
        </w:rPr>
        <w:t xml:space="preserve">En el campo del urbanismo, en la arquitectura, en la decoración, surgieron también nuevas formas. Estas tendían a privilegiar las nuevas tecnologías. Buenos aires se encontró pronto con obras monumentales, que exhibieron el vigor y las nuevas tendencias a la modernidad  como el cine Gran </w:t>
      </w:r>
      <w:proofErr w:type="spellStart"/>
      <w:r w:rsidRPr="00815994">
        <w:rPr>
          <w:rFonts w:eastAsia="Calibri" w:cs="Times New Roman"/>
          <w:lang w:val="es-ES" w:eastAsia="es-ES"/>
        </w:rPr>
        <w:t>Rex</w:t>
      </w:r>
      <w:proofErr w:type="spellEnd"/>
      <w:r w:rsidRPr="00815994">
        <w:rPr>
          <w:rFonts w:eastAsia="Calibri" w:cs="Times New Roman"/>
          <w:lang w:val="es-ES" w:eastAsia="es-ES"/>
        </w:rPr>
        <w:t>. Obviamente, en los barrios, no eran tantas ni tan notables las novedades. Pero los medios de transporte también se multiplicaron y extendieron sus redes. Esto provocó el nacimiento de un nuevo hábito urbano: la “salida al centro”.</w:t>
      </w:r>
    </w:p>
    <w:p w:rsidR="000102BD" w:rsidRPr="00815994" w:rsidRDefault="000102BD" w:rsidP="000102BD">
      <w:pPr>
        <w:spacing w:after="0"/>
        <w:ind w:firstLine="709"/>
        <w:jc w:val="both"/>
        <w:rPr>
          <w:rFonts w:eastAsia="Calibri" w:cs="Times New Roman"/>
          <w:lang w:val="es-ES" w:eastAsia="es-ES"/>
        </w:rPr>
      </w:pPr>
      <w:r w:rsidRPr="00815994">
        <w:rPr>
          <w:rFonts w:eastAsia="Calibri" w:cs="Times New Roman"/>
          <w:lang w:val="es-ES" w:eastAsia="es-ES"/>
        </w:rPr>
        <w:t xml:space="preserve">En el campo de la lengua, había tantas lenguas como grupos sociales. </w:t>
      </w:r>
      <w:r w:rsidRPr="00815994">
        <w:rPr>
          <w:rFonts w:eastAsia="Calibri" w:cs="Times New Roman"/>
          <w:b/>
          <w:lang w:val="es-ES" w:eastAsia="es-ES"/>
        </w:rPr>
        <w:t xml:space="preserve">La educación pública logró que los hijos de los inmigrantes pudiesen, sin mayores dificultades, integrarse en el seno de la vida social. </w:t>
      </w:r>
      <w:r w:rsidRPr="00815994">
        <w:rPr>
          <w:rFonts w:eastAsia="Calibri" w:cs="Times New Roman"/>
          <w:lang w:val="es-ES" w:eastAsia="es-ES"/>
        </w:rPr>
        <w:t>Eran tan la proliferación de jergas y dialectos, que el idioma pasó a ser un tema de preocupación y debate para la mayor parte de los intelectuales y escritores del período.</w:t>
      </w:r>
    </w:p>
    <w:p w:rsidR="000102BD" w:rsidRPr="00815994" w:rsidRDefault="000102BD" w:rsidP="000102BD">
      <w:pPr>
        <w:jc w:val="both"/>
        <w:rPr>
          <w:rFonts w:eastAsia="Calibri" w:cs="Times New Roman"/>
          <w:lang w:val="es-ES" w:eastAsia="es-ES"/>
        </w:rPr>
      </w:pPr>
    </w:p>
    <w:p w:rsidR="000102BD" w:rsidRDefault="000102BD" w:rsidP="007C6E8B">
      <w:pPr>
        <w:jc w:val="center"/>
        <w:rPr>
          <w:u w:val="single"/>
        </w:rPr>
      </w:pPr>
    </w:p>
    <w:sectPr w:rsidR="000102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pt;height:11.2pt" o:bullet="t">
        <v:imagedata r:id="rId1" o:title="clip_image001"/>
      </v:shape>
    </w:pict>
  </w:numPicBullet>
  <w:abstractNum w:abstractNumId="0">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121268B"/>
    <w:multiLevelType w:val="hybridMultilevel"/>
    <w:tmpl w:val="BFBC1642"/>
    <w:lvl w:ilvl="0" w:tplc="2C0A0007">
      <w:start w:val="1"/>
      <w:numFmt w:val="bullet"/>
      <w:lvlText w:val=""/>
      <w:lvlPicBulletId w:val="0"/>
      <w:lvlJc w:val="left"/>
      <w:pPr>
        <w:ind w:left="928" w:hanging="360"/>
      </w:pPr>
      <w:rPr>
        <w:rFonts w:ascii="Symbol" w:hAnsi="Symbol" w:hint="default"/>
      </w:rPr>
    </w:lvl>
    <w:lvl w:ilvl="1" w:tplc="2C0A0003">
      <w:start w:val="1"/>
      <w:numFmt w:val="bullet"/>
      <w:lvlText w:val="o"/>
      <w:lvlJc w:val="left"/>
      <w:pPr>
        <w:ind w:left="1648" w:hanging="360"/>
      </w:pPr>
      <w:rPr>
        <w:rFonts w:ascii="Courier New" w:hAnsi="Courier New" w:cs="Courier New" w:hint="default"/>
      </w:rPr>
    </w:lvl>
    <w:lvl w:ilvl="2" w:tplc="2C0A0005">
      <w:start w:val="1"/>
      <w:numFmt w:val="bullet"/>
      <w:lvlText w:val=""/>
      <w:lvlJc w:val="left"/>
      <w:pPr>
        <w:ind w:left="2368" w:hanging="360"/>
      </w:pPr>
      <w:rPr>
        <w:rFonts w:ascii="Wingdings" w:hAnsi="Wingdings" w:hint="default"/>
      </w:rPr>
    </w:lvl>
    <w:lvl w:ilvl="3" w:tplc="2C0A0001">
      <w:start w:val="1"/>
      <w:numFmt w:val="bullet"/>
      <w:lvlText w:val=""/>
      <w:lvlJc w:val="left"/>
      <w:pPr>
        <w:ind w:left="3088" w:hanging="360"/>
      </w:pPr>
      <w:rPr>
        <w:rFonts w:ascii="Symbol" w:hAnsi="Symbol" w:hint="default"/>
      </w:rPr>
    </w:lvl>
    <w:lvl w:ilvl="4" w:tplc="2C0A0003">
      <w:start w:val="1"/>
      <w:numFmt w:val="bullet"/>
      <w:lvlText w:val="o"/>
      <w:lvlJc w:val="left"/>
      <w:pPr>
        <w:ind w:left="3808" w:hanging="360"/>
      </w:pPr>
      <w:rPr>
        <w:rFonts w:ascii="Courier New" w:hAnsi="Courier New" w:cs="Courier New" w:hint="default"/>
      </w:rPr>
    </w:lvl>
    <w:lvl w:ilvl="5" w:tplc="2C0A0005">
      <w:start w:val="1"/>
      <w:numFmt w:val="bullet"/>
      <w:lvlText w:val=""/>
      <w:lvlJc w:val="left"/>
      <w:pPr>
        <w:ind w:left="4528" w:hanging="360"/>
      </w:pPr>
      <w:rPr>
        <w:rFonts w:ascii="Wingdings" w:hAnsi="Wingdings" w:hint="default"/>
      </w:rPr>
    </w:lvl>
    <w:lvl w:ilvl="6" w:tplc="2C0A0001">
      <w:start w:val="1"/>
      <w:numFmt w:val="bullet"/>
      <w:lvlText w:val=""/>
      <w:lvlJc w:val="left"/>
      <w:pPr>
        <w:ind w:left="5248" w:hanging="360"/>
      </w:pPr>
      <w:rPr>
        <w:rFonts w:ascii="Symbol" w:hAnsi="Symbol" w:hint="default"/>
      </w:rPr>
    </w:lvl>
    <w:lvl w:ilvl="7" w:tplc="2C0A0003">
      <w:start w:val="1"/>
      <w:numFmt w:val="bullet"/>
      <w:lvlText w:val="o"/>
      <w:lvlJc w:val="left"/>
      <w:pPr>
        <w:ind w:left="5968" w:hanging="360"/>
      </w:pPr>
      <w:rPr>
        <w:rFonts w:ascii="Courier New" w:hAnsi="Courier New" w:cs="Courier New" w:hint="default"/>
      </w:rPr>
    </w:lvl>
    <w:lvl w:ilvl="8" w:tplc="2C0A0005">
      <w:start w:val="1"/>
      <w:numFmt w:val="bullet"/>
      <w:lvlText w:val=""/>
      <w:lvlJc w:val="left"/>
      <w:pPr>
        <w:ind w:left="6688" w:hanging="360"/>
      </w:pPr>
      <w:rPr>
        <w:rFonts w:ascii="Wingdings" w:hAnsi="Wingdings" w:hint="default"/>
      </w:rPr>
    </w:lvl>
  </w:abstractNum>
  <w:abstractNum w:abstractNumId="3">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FFA745D"/>
    <w:multiLevelType w:val="hybridMultilevel"/>
    <w:tmpl w:val="B046FDD2"/>
    <w:lvl w:ilvl="0" w:tplc="2C0A0007">
      <w:start w:val="1"/>
      <w:numFmt w:val="bullet"/>
      <w:lvlText w:val=""/>
      <w:lvlPicBulletId w:val="0"/>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102BD"/>
    <w:rsid w:val="000716C5"/>
    <w:rsid w:val="001D4412"/>
    <w:rsid w:val="002C41AA"/>
    <w:rsid w:val="00452DB3"/>
    <w:rsid w:val="00461A3E"/>
    <w:rsid w:val="004A1C87"/>
    <w:rsid w:val="00597AD6"/>
    <w:rsid w:val="00716DD2"/>
    <w:rsid w:val="007B77FE"/>
    <w:rsid w:val="007C6E8B"/>
    <w:rsid w:val="00816675"/>
    <w:rsid w:val="00913BD7"/>
    <w:rsid w:val="00A957C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2024-09-03T00:42:00Z</dcterms:created>
  <dcterms:modified xsi:type="dcterms:W3CDTF">2024-09-03T00:42:00Z</dcterms:modified>
</cp:coreProperties>
</file>